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94"/>
        <w:tblW w:w="9142" w:type="dxa"/>
        <w:tblLayout w:type="fixed"/>
        <w:tblCellMar>
          <w:left w:w="70" w:type="dxa"/>
          <w:right w:w="70" w:type="dxa"/>
        </w:tblCellMar>
        <w:tblLook w:val="04A0" w:firstRow="1" w:lastRow="0" w:firstColumn="1" w:lastColumn="0" w:noHBand="0" w:noVBand="1"/>
      </w:tblPr>
      <w:tblGrid>
        <w:gridCol w:w="4181"/>
        <w:gridCol w:w="425"/>
        <w:gridCol w:w="4536"/>
      </w:tblGrid>
      <w:tr w:rsidR="008F4014" w14:paraId="3DB66F92" w14:textId="77777777" w:rsidTr="008A17B9">
        <w:tc>
          <w:tcPr>
            <w:tcW w:w="4181" w:type="dxa"/>
          </w:tcPr>
          <w:p w14:paraId="71A0E56E" w14:textId="2F4FBCF0" w:rsidR="008F4014" w:rsidRDefault="008F4014" w:rsidP="008A17B9">
            <w:pPr>
              <w:ind w:right="-70"/>
              <w:jc w:val="center"/>
              <w:rPr>
                <w:rFonts w:ascii="Georgia" w:hAnsi="Georgia" w:cs="Lucida Sans Unicode"/>
                <w:sz w:val="20"/>
                <w:szCs w:val="20"/>
              </w:rPr>
            </w:pPr>
            <w:r>
              <w:rPr>
                <w:rFonts w:ascii="Georgia" w:hAnsi="Georgia" w:cs="Lucida Sans Unicode"/>
                <w:noProof/>
                <w:sz w:val="20"/>
                <w:szCs w:val="20"/>
                <w:lang w:bidi="ar-SA"/>
              </w:rPr>
              <w:drawing>
                <wp:inline distT="0" distB="0" distL="0" distR="0" wp14:anchorId="2F086F41" wp14:editId="5E70FABB">
                  <wp:extent cx="571500" cy="563880"/>
                  <wp:effectExtent l="0" t="0" r="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63880"/>
                          </a:xfrm>
                          <a:prstGeom prst="rect">
                            <a:avLst/>
                          </a:prstGeom>
                          <a:noFill/>
                          <a:ln>
                            <a:noFill/>
                          </a:ln>
                        </pic:spPr>
                      </pic:pic>
                    </a:graphicData>
                  </a:graphic>
                </wp:inline>
              </w:drawing>
            </w:r>
          </w:p>
        </w:tc>
        <w:tc>
          <w:tcPr>
            <w:tcW w:w="425" w:type="dxa"/>
          </w:tcPr>
          <w:p w14:paraId="448E9E7A" w14:textId="77777777" w:rsidR="008F4014" w:rsidRDefault="008F4014" w:rsidP="008A17B9">
            <w:pPr>
              <w:rPr>
                <w:rFonts w:ascii="Georgia" w:hAnsi="Georgia" w:cs="Lucida Sans Unicode"/>
                <w:sz w:val="20"/>
                <w:szCs w:val="20"/>
              </w:rPr>
            </w:pPr>
          </w:p>
        </w:tc>
        <w:tc>
          <w:tcPr>
            <w:tcW w:w="4536" w:type="dxa"/>
          </w:tcPr>
          <w:p w14:paraId="2E628F5B" w14:textId="77777777" w:rsidR="008F4014" w:rsidRDefault="008F4014" w:rsidP="008A17B9">
            <w:pPr>
              <w:ind w:right="-70"/>
              <w:rPr>
                <w:rFonts w:ascii="Georgia" w:hAnsi="Georgia" w:cs="Lucida Sans Unicode"/>
                <w:sz w:val="20"/>
                <w:szCs w:val="20"/>
              </w:rPr>
            </w:pPr>
          </w:p>
          <w:p w14:paraId="16225227" w14:textId="62F1F7EC" w:rsidR="008F4014" w:rsidRPr="00A80CFF" w:rsidRDefault="008F4014" w:rsidP="008A17B9">
            <w:pPr>
              <w:ind w:right="-70"/>
              <w:rPr>
                <w:rFonts w:ascii="Georgia" w:hAnsi="Georgia" w:cs="Lucida Sans Unicode"/>
                <w:b/>
                <w:spacing w:val="40"/>
                <w:sz w:val="28"/>
                <w:szCs w:val="28"/>
              </w:rPr>
            </w:pPr>
            <w:r>
              <w:rPr>
                <w:rFonts w:ascii="Palatino Linotype" w:hAnsi="Palatino Linotype"/>
                <w:sz w:val="34"/>
                <w:szCs w:val="34"/>
              </w:rPr>
              <w:t xml:space="preserve"> </w:t>
            </w:r>
            <w:r>
              <w:rPr>
                <w:rFonts w:ascii="Palatino Linotype" w:hAnsi="Palatino Linotype"/>
                <w:b/>
                <w:sz w:val="34"/>
                <w:szCs w:val="34"/>
                <w:u w:val="double"/>
              </w:rPr>
              <w:t>ΕΓΚΥΚΛΙΟΣ</w:t>
            </w:r>
            <w:r>
              <w:rPr>
                <w:rFonts w:ascii="Palatino Linotype" w:hAnsi="Palatino Linotype"/>
                <w:b/>
                <w:sz w:val="34"/>
                <w:szCs w:val="34"/>
                <w:u w:val="double"/>
                <w:lang w:val="en-US"/>
              </w:rPr>
              <w:t xml:space="preserve"> </w:t>
            </w:r>
            <w:r>
              <w:rPr>
                <w:rFonts w:ascii="Palatino Linotype" w:hAnsi="Palatino Linotype"/>
                <w:b/>
                <w:sz w:val="34"/>
                <w:szCs w:val="34"/>
                <w:u w:val="double"/>
              </w:rPr>
              <w:t>18</w:t>
            </w:r>
            <w:r w:rsidRPr="00363BB6">
              <w:rPr>
                <w:rFonts w:ascii="Palatino Linotype" w:hAnsi="Palatino Linotype"/>
                <w:b/>
                <w:sz w:val="34"/>
                <w:szCs w:val="34"/>
                <w:u w:val="double"/>
                <w:vertAlign w:val="superscript"/>
              </w:rPr>
              <w:t>η</w:t>
            </w:r>
            <w:r>
              <w:rPr>
                <w:rFonts w:ascii="Palatino Linotype" w:hAnsi="Palatino Linotype"/>
                <w:b/>
                <w:sz w:val="34"/>
                <w:szCs w:val="34"/>
                <w:u w:val="double"/>
              </w:rPr>
              <w:t xml:space="preserve"> </w:t>
            </w:r>
            <w:r>
              <w:rPr>
                <w:rFonts w:ascii="Palatino Linotype" w:hAnsi="Palatino Linotype"/>
                <w:b/>
                <w:sz w:val="34"/>
                <w:szCs w:val="34"/>
                <w:u w:val="double"/>
                <w:lang w:val="en-US"/>
              </w:rPr>
              <w:t xml:space="preserve"> </w:t>
            </w:r>
          </w:p>
        </w:tc>
      </w:tr>
      <w:tr w:rsidR="008F4014" w14:paraId="5328B314" w14:textId="77777777" w:rsidTr="008A17B9">
        <w:tc>
          <w:tcPr>
            <w:tcW w:w="4181" w:type="dxa"/>
          </w:tcPr>
          <w:p w14:paraId="1AE2FFDE" w14:textId="77777777" w:rsidR="008F4014" w:rsidRDefault="008F4014" w:rsidP="008A17B9">
            <w:pPr>
              <w:ind w:right="-70"/>
              <w:jc w:val="center"/>
              <w:rPr>
                <w:rFonts w:ascii="Georgia" w:hAnsi="Georgia" w:cs="Lucida Sans Unicode"/>
                <w:sz w:val="18"/>
                <w:szCs w:val="18"/>
              </w:rPr>
            </w:pPr>
          </w:p>
        </w:tc>
        <w:tc>
          <w:tcPr>
            <w:tcW w:w="425" w:type="dxa"/>
          </w:tcPr>
          <w:p w14:paraId="117EBA99" w14:textId="77777777" w:rsidR="008F4014" w:rsidRDefault="008F4014" w:rsidP="008A17B9">
            <w:pPr>
              <w:rPr>
                <w:rFonts w:ascii="Georgia" w:hAnsi="Georgia" w:cs="Lucida Sans Unicode"/>
                <w:sz w:val="16"/>
                <w:szCs w:val="16"/>
              </w:rPr>
            </w:pPr>
          </w:p>
        </w:tc>
        <w:tc>
          <w:tcPr>
            <w:tcW w:w="4536" w:type="dxa"/>
          </w:tcPr>
          <w:p w14:paraId="45C935FB" w14:textId="77777777" w:rsidR="008F4014" w:rsidRDefault="008F4014" w:rsidP="008A17B9">
            <w:pPr>
              <w:ind w:right="-70"/>
              <w:rPr>
                <w:rFonts w:ascii="Georgia" w:hAnsi="Georgia" w:cs="Lucida Sans Unicode"/>
                <w:sz w:val="16"/>
                <w:szCs w:val="16"/>
              </w:rPr>
            </w:pPr>
          </w:p>
        </w:tc>
      </w:tr>
      <w:tr w:rsidR="008F4014" w:rsidRPr="00871882" w14:paraId="44E56F3E" w14:textId="77777777" w:rsidTr="008A17B9">
        <w:tc>
          <w:tcPr>
            <w:tcW w:w="4181" w:type="dxa"/>
          </w:tcPr>
          <w:p w14:paraId="5B6AD863" w14:textId="77777777" w:rsidR="008F4014" w:rsidRPr="00166AE3" w:rsidRDefault="008F4014" w:rsidP="008A17B9">
            <w:pPr>
              <w:ind w:right="-70"/>
              <w:jc w:val="center"/>
              <w:rPr>
                <w:rFonts w:ascii="Book Antiqua" w:hAnsi="Book Antiqua" w:cs="Lucida Sans Unicode"/>
              </w:rPr>
            </w:pPr>
            <w:r w:rsidRPr="00166AE3">
              <w:rPr>
                <w:rFonts w:ascii="Book Antiqua" w:hAnsi="Book Antiqua" w:cs="Lucida Sans Unicode"/>
              </w:rPr>
              <w:t>ΕΛΛΗΝΙΚΗ ΔΗΜΟΚΡΑΤΙΑ</w:t>
            </w:r>
          </w:p>
        </w:tc>
        <w:tc>
          <w:tcPr>
            <w:tcW w:w="425" w:type="dxa"/>
          </w:tcPr>
          <w:p w14:paraId="2CFC2ACD" w14:textId="77777777" w:rsidR="008F4014" w:rsidRPr="00871882" w:rsidRDefault="008F4014" w:rsidP="008A17B9">
            <w:pPr>
              <w:rPr>
                <w:rFonts w:ascii="Book Antiqua" w:hAnsi="Book Antiqua" w:cs="Lucida Sans Unicode"/>
                <w:sz w:val="16"/>
                <w:szCs w:val="16"/>
              </w:rPr>
            </w:pPr>
          </w:p>
        </w:tc>
        <w:tc>
          <w:tcPr>
            <w:tcW w:w="4536" w:type="dxa"/>
          </w:tcPr>
          <w:p w14:paraId="6102D655" w14:textId="2188EFD3" w:rsidR="008F4014" w:rsidRPr="00C82B15" w:rsidRDefault="008F4014" w:rsidP="008A17B9">
            <w:pPr>
              <w:ind w:right="-70"/>
              <w:rPr>
                <w:rFonts w:ascii="Book Antiqua" w:hAnsi="Book Antiqua" w:cs="Lucida Sans Unicode"/>
              </w:rPr>
            </w:pPr>
            <w:r w:rsidRPr="00871882">
              <w:rPr>
                <w:rFonts w:ascii="Book Antiqua" w:hAnsi="Book Antiqua" w:cs="Lucida Sans Unicode"/>
              </w:rPr>
              <w:t>Αθήνα</w:t>
            </w:r>
            <w:r>
              <w:rPr>
                <w:rFonts w:ascii="Book Antiqua" w:hAnsi="Book Antiqua" w:cs="Lucida Sans Unicode"/>
              </w:rPr>
              <w:t>, 11 Μαΐου 2020</w:t>
            </w:r>
          </w:p>
        </w:tc>
      </w:tr>
      <w:tr w:rsidR="008F4014" w:rsidRPr="00871882" w14:paraId="020E518C" w14:textId="77777777" w:rsidTr="008A17B9">
        <w:tc>
          <w:tcPr>
            <w:tcW w:w="4181" w:type="dxa"/>
          </w:tcPr>
          <w:p w14:paraId="30E97ABC" w14:textId="77777777" w:rsidR="008F4014" w:rsidRPr="00166AE3" w:rsidRDefault="008F4014" w:rsidP="008A17B9">
            <w:pPr>
              <w:ind w:right="-70"/>
              <w:jc w:val="center"/>
              <w:rPr>
                <w:rFonts w:ascii="Book Antiqua" w:hAnsi="Book Antiqua" w:cs="Lucida Sans Unicode"/>
              </w:rPr>
            </w:pPr>
            <w:r w:rsidRPr="00166AE3">
              <w:rPr>
                <w:rFonts w:ascii="Book Antiqua" w:hAnsi="Book Antiqua" w:cs="Lucida Sans Unicode"/>
              </w:rPr>
              <w:t>ΥΠΟΥΡΓΕΙΟ ΔΙΚΑΙΟΣΥΝΗΣ</w:t>
            </w:r>
          </w:p>
        </w:tc>
        <w:tc>
          <w:tcPr>
            <w:tcW w:w="425" w:type="dxa"/>
          </w:tcPr>
          <w:p w14:paraId="081656A4" w14:textId="77777777" w:rsidR="008F4014" w:rsidRPr="00871882" w:rsidRDefault="008F4014" w:rsidP="008A17B9">
            <w:pPr>
              <w:rPr>
                <w:rFonts w:ascii="Book Antiqua" w:hAnsi="Book Antiqua" w:cs="Lucida Sans Unicode"/>
                <w:b/>
                <w:bCs/>
                <w:sz w:val="16"/>
                <w:szCs w:val="16"/>
              </w:rPr>
            </w:pPr>
          </w:p>
        </w:tc>
        <w:tc>
          <w:tcPr>
            <w:tcW w:w="4536" w:type="dxa"/>
          </w:tcPr>
          <w:p w14:paraId="5C068AF9" w14:textId="77777777" w:rsidR="008F4014" w:rsidRPr="00871882" w:rsidRDefault="008F4014" w:rsidP="008A17B9">
            <w:pPr>
              <w:ind w:right="-70"/>
              <w:rPr>
                <w:rFonts w:ascii="Book Antiqua" w:hAnsi="Book Antiqua" w:cs="Lucida Sans Unicode"/>
                <w:b/>
                <w:bCs/>
              </w:rPr>
            </w:pPr>
          </w:p>
        </w:tc>
      </w:tr>
      <w:tr w:rsidR="008F4014" w:rsidRPr="00871882" w14:paraId="31A088DF" w14:textId="77777777" w:rsidTr="008A17B9">
        <w:tc>
          <w:tcPr>
            <w:tcW w:w="4181" w:type="dxa"/>
          </w:tcPr>
          <w:p w14:paraId="7A5B083A" w14:textId="77777777" w:rsidR="008F4014" w:rsidRPr="00871882" w:rsidRDefault="008F4014" w:rsidP="008A17B9">
            <w:pPr>
              <w:spacing w:before="60"/>
              <w:ind w:right="-68"/>
              <w:jc w:val="center"/>
              <w:rPr>
                <w:rFonts w:ascii="Book Antiqua" w:hAnsi="Book Antiqua" w:cs="Lucida Sans Unicode"/>
                <w:b/>
                <w:bCs/>
                <w:sz w:val="18"/>
                <w:szCs w:val="18"/>
              </w:rPr>
            </w:pPr>
            <w:r>
              <w:rPr>
                <w:rFonts w:ascii="Book Antiqua" w:hAnsi="Book Antiqua" w:cs="Lucida Sans Unicode"/>
                <w:b/>
                <w:bCs/>
                <w:sz w:val="18"/>
                <w:szCs w:val="18"/>
              </w:rPr>
              <w:t>ΣΥΝΤΟΝΙΣΤΙΚΗ ΕΠΙΤΡΟΠΗ</w:t>
            </w:r>
          </w:p>
        </w:tc>
        <w:tc>
          <w:tcPr>
            <w:tcW w:w="425" w:type="dxa"/>
          </w:tcPr>
          <w:p w14:paraId="115784E6" w14:textId="77777777" w:rsidR="008F4014" w:rsidRPr="00871882" w:rsidRDefault="008F4014" w:rsidP="008A17B9">
            <w:pPr>
              <w:rPr>
                <w:rFonts w:ascii="Book Antiqua" w:hAnsi="Book Antiqua" w:cs="Lucida Sans Unicode"/>
                <w:sz w:val="16"/>
                <w:szCs w:val="16"/>
              </w:rPr>
            </w:pPr>
          </w:p>
        </w:tc>
        <w:tc>
          <w:tcPr>
            <w:tcW w:w="4536" w:type="dxa"/>
          </w:tcPr>
          <w:p w14:paraId="65921E47" w14:textId="3A59F2B3" w:rsidR="008F4014" w:rsidRPr="00BE73E5" w:rsidRDefault="008F4014" w:rsidP="008A17B9">
            <w:pPr>
              <w:ind w:right="-70"/>
              <w:rPr>
                <w:rFonts w:ascii="Book Antiqua" w:hAnsi="Book Antiqua" w:cs="Lucida Sans Unicode"/>
                <w:b/>
                <w:bCs/>
                <w:lang w:val="en-US"/>
              </w:rPr>
            </w:pPr>
            <w:proofErr w:type="spellStart"/>
            <w:r w:rsidRPr="00871882">
              <w:rPr>
                <w:rFonts w:ascii="Book Antiqua" w:hAnsi="Book Antiqua" w:cs="Lucida Sans Unicode"/>
              </w:rPr>
              <w:t>Αριθμ</w:t>
            </w:r>
            <w:proofErr w:type="spellEnd"/>
            <w:r w:rsidRPr="00871882">
              <w:rPr>
                <w:rFonts w:ascii="Book Antiqua" w:hAnsi="Book Antiqua" w:cs="Lucida Sans Unicode"/>
              </w:rPr>
              <w:t xml:space="preserve">. </w:t>
            </w:r>
            <w:proofErr w:type="spellStart"/>
            <w:r w:rsidRPr="00871882">
              <w:rPr>
                <w:rFonts w:ascii="Book Antiqua" w:hAnsi="Book Antiqua" w:cs="Lucida Sans Unicode"/>
              </w:rPr>
              <w:t>Πρωτ</w:t>
            </w:r>
            <w:proofErr w:type="spellEnd"/>
            <w:r w:rsidRPr="00871882">
              <w:rPr>
                <w:rFonts w:ascii="Book Antiqua" w:hAnsi="Book Antiqua" w:cs="Lucida Sans Unicode"/>
              </w:rPr>
              <w:t>.</w:t>
            </w:r>
            <w:r>
              <w:rPr>
                <w:rFonts w:ascii="Book Antiqua" w:hAnsi="Book Antiqua" w:cs="Lucida Sans Unicode"/>
              </w:rPr>
              <w:t xml:space="preserve"> </w:t>
            </w:r>
            <w:r w:rsidR="00BE73E5">
              <w:rPr>
                <w:rFonts w:ascii="Book Antiqua" w:hAnsi="Book Antiqua" w:cs="Lucida Sans Unicode"/>
                <w:b/>
                <w:lang w:val="en-US"/>
              </w:rPr>
              <w:t>209</w:t>
            </w:r>
            <w:bookmarkStart w:id="0" w:name="_GoBack"/>
            <w:bookmarkEnd w:id="0"/>
          </w:p>
        </w:tc>
      </w:tr>
      <w:tr w:rsidR="008F4014" w:rsidRPr="00871882" w14:paraId="7FE3B216" w14:textId="77777777" w:rsidTr="008A17B9">
        <w:tc>
          <w:tcPr>
            <w:tcW w:w="4181" w:type="dxa"/>
          </w:tcPr>
          <w:p w14:paraId="76AFAF3F" w14:textId="77777777" w:rsidR="008F4014" w:rsidRPr="003766B8" w:rsidRDefault="008F4014" w:rsidP="008A17B9">
            <w:pPr>
              <w:spacing w:before="60"/>
              <w:ind w:right="-68"/>
              <w:jc w:val="center"/>
              <w:rPr>
                <w:rFonts w:ascii="Book Antiqua" w:hAnsi="Book Antiqua" w:cs="Lucida Sans Unicode"/>
                <w:b/>
                <w:bCs/>
                <w:sz w:val="18"/>
                <w:szCs w:val="18"/>
                <w:lang w:val="en-US"/>
              </w:rPr>
            </w:pPr>
            <w:r w:rsidRPr="00871882">
              <w:rPr>
                <w:rFonts w:ascii="Book Antiqua" w:hAnsi="Book Antiqua" w:cs="Lucida Sans Unicode"/>
                <w:b/>
                <w:bCs/>
                <w:sz w:val="18"/>
                <w:szCs w:val="18"/>
              </w:rPr>
              <w:t>ΣΥΜΒΟΛΑΙΟΓΡΑΦΙΚ</w:t>
            </w:r>
            <w:r>
              <w:rPr>
                <w:rFonts w:ascii="Book Antiqua" w:hAnsi="Book Antiqua" w:cs="Lucida Sans Unicode"/>
                <w:b/>
                <w:bCs/>
                <w:sz w:val="18"/>
                <w:szCs w:val="18"/>
              </w:rPr>
              <w:t>ΩΝ</w:t>
            </w:r>
            <w:r w:rsidRPr="00871882">
              <w:rPr>
                <w:rFonts w:ascii="Book Antiqua" w:hAnsi="Book Antiqua" w:cs="Lucida Sans Unicode"/>
                <w:b/>
                <w:bCs/>
                <w:sz w:val="18"/>
                <w:szCs w:val="18"/>
              </w:rPr>
              <w:t xml:space="preserve"> ΣΥΛΛΟΓ</w:t>
            </w:r>
            <w:r>
              <w:rPr>
                <w:rFonts w:ascii="Book Antiqua" w:hAnsi="Book Antiqua" w:cs="Lucida Sans Unicode"/>
                <w:b/>
                <w:bCs/>
                <w:sz w:val="18"/>
                <w:szCs w:val="18"/>
              </w:rPr>
              <w:t>ΩΝ</w:t>
            </w:r>
          </w:p>
        </w:tc>
        <w:tc>
          <w:tcPr>
            <w:tcW w:w="425" w:type="dxa"/>
          </w:tcPr>
          <w:p w14:paraId="4CE2F4BA" w14:textId="77777777" w:rsidR="008F4014" w:rsidRPr="00871882" w:rsidRDefault="008F4014" w:rsidP="008A17B9">
            <w:pPr>
              <w:rPr>
                <w:rFonts w:ascii="Book Antiqua" w:hAnsi="Book Antiqua" w:cs="Lucida Sans Unicode"/>
                <w:sz w:val="16"/>
                <w:szCs w:val="16"/>
              </w:rPr>
            </w:pPr>
          </w:p>
        </w:tc>
        <w:tc>
          <w:tcPr>
            <w:tcW w:w="4536" w:type="dxa"/>
          </w:tcPr>
          <w:p w14:paraId="39D372B1" w14:textId="77777777" w:rsidR="008F4014" w:rsidRPr="00E169BD" w:rsidRDefault="008F4014" w:rsidP="008A17B9">
            <w:pPr>
              <w:ind w:right="-70"/>
              <w:rPr>
                <w:rFonts w:ascii="Book Antiqua" w:hAnsi="Book Antiqua" w:cs="Lucida Sans Unicode"/>
                <w:u w:val="single"/>
              </w:rPr>
            </w:pPr>
          </w:p>
        </w:tc>
      </w:tr>
      <w:tr w:rsidR="008F4014" w:rsidRPr="00871882" w14:paraId="04B92E89" w14:textId="77777777" w:rsidTr="008A17B9">
        <w:tc>
          <w:tcPr>
            <w:tcW w:w="4181" w:type="dxa"/>
          </w:tcPr>
          <w:p w14:paraId="5D33E243" w14:textId="77777777" w:rsidR="008F4014" w:rsidRPr="00871882" w:rsidRDefault="008F4014" w:rsidP="008A17B9">
            <w:pPr>
              <w:spacing w:before="60"/>
              <w:ind w:right="-68"/>
              <w:jc w:val="center"/>
              <w:rPr>
                <w:rFonts w:ascii="Book Antiqua" w:hAnsi="Book Antiqua" w:cs="Lucida Sans Unicode"/>
                <w:sz w:val="18"/>
                <w:szCs w:val="18"/>
              </w:rPr>
            </w:pPr>
            <w:r>
              <w:rPr>
                <w:rFonts w:ascii="Book Antiqua" w:hAnsi="Book Antiqua" w:cs="Lucida Sans Unicode"/>
                <w:b/>
                <w:bCs/>
                <w:sz w:val="18"/>
                <w:szCs w:val="18"/>
              </w:rPr>
              <w:t>ΕΛΛΑΔΟΣ</w:t>
            </w:r>
          </w:p>
        </w:tc>
        <w:tc>
          <w:tcPr>
            <w:tcW w:w="425" w:type="dxa"/>
          </w:tcPr>
          <w:p w14:paraId="2A7C1050" w14:textId="77777777" w:rsidR="008F4014" w:rsidRPr="00871882" w:rsidRDefault="008F4014" w:rsidP="008A17B9">
            <w:pPr>
              <w:rPr>
                <w:rFonts w:ascii="Book Antiqua" w:hAnsi="Book Antiqua" w:cs="Lucida Sans Unicode"/>
                <w:b/>
                <w:bCs/>
                <w:sz w:val="16"/>
                <w:szCs w:val="16"/>
              </w:rPr>
            </w:pPr>
          </w:p>
        </w:tc>
        <w:tc>
          <w:tcPr>
            <w:tcW w:w="4536" w:type="dxa"/>
          </w:tcPr>
          <w:p w14:paraId="748A9D15" w14:textId="77777777" w:rsidR="008F4014" w:rsidRPr="00F72F68" w:rsidRDefault="008F4014" w:rsidP="008A17B9">
            <w:pPr>
              <w:ind w:right="-70"/>
              <w:rPr>
                <w:rFonts w:ascii="Book Antiqua" w:hAnsi="Book Antiqua" w:cs="Lucida Sans Unicode"/>
                <w:b/>
                <w:bCs/>
              </w:rPr>
            </w:pPr>
          </w:p>
        </w:tc>
      </w:tr>
      <w:tr w:rsidR="008F4014" w:rsidRPr="00871882" w14:paraId="23443052" w14:textId="77777777" w:rsidTr="008A17B9">
        <w:tc>
          <w:tcPr>
            <w:tcW w:w="4181" w:type="dxa"/>
          </w:tcPr>
          <w:p w14:paraId="4F3AF3A4" w14:textId="77777777" w:rsidR="008F4014" w:rsidRPr="00871882" w:rsidRDefault="008F4014" w:rsidP="008A17B9">
            <w:pPr>
              <w:ind w:right="-70"/>
              <w:jc w:val="center"/>
              <w:rPr>
                <w:rFonts w:ascii="Book Antiqua" w:hAnsi="Book Antiqua" w:cs="Lucida Sans Unicode"/>
                <w:sz w:val="18"/>
                <w:szCs w:val="18"/>
              </w:rPr>
            </w:pPr>
            <w:r>
              <w:rPr>
                <w:rFonts w:ascii="Book Antiqua" w:hAnsi="Book Antiqua" w:cs="Lucida Sans Unicode"/>
                <w:sz w:val="18"/>
                <w:szCs w:val="18"/>
              </w:rPr>
              <w:t>------------------</w:t>
            </w:r>
          </w:p>
        </w:tc>
        <w:tc>
          <w:tcPr>
            <w:tcW w:w="425" w:type="dxa"/>
          </w:tcPr>
          <w:p w14:paraId="23A1CB6C" w14:textId="77777777" w:rsidR="008F4014" w:rsidRPr="00871882" w:rsidRDefault="008F4014" w:rsidP="008A17B9">
            <w:pPr>
              <w:rPr>
                <w:rFonts w:ascii="Book Antiqua" w:hAnsi="Book Antiqua" w:cs="Lucida Sans Unicode"/>
                <w:b/>
                <w:bCs/>
                <w:sz w:val="20"/>
                <w:szCs w:val="20"/>
              </w:rPr>
            </w:pPr>
          </w:p>
        </w:tc>
        <w:tc>
          <w:tcPr>
            <w:tcW w:w="4536" w:type="dxa"/>
          </w:tcPr>
          <w:p w14:paraId="1105B6D8" w14:textId="77777777" w:rsidR="008F4014" w:rsidRPr="002A6A9A" w:rsidRDefault="008F4014" w:rsidP="008A17B9">
            <w:pPr>
              <w:ind w:right="918"/>
              <w:rPr>
                <w:rFonts w:ascii="Book Antiqua" w:hAnsi="Book Antiqua"/>
                <w:b/>
                <w:u w:val="single"/>
              </w:rPr>
            </w:pPr>
          </w:p>
        </w:tc>
      </w:tr>
      <w:tr w:rsidR="008F4014" w:rsidRPr="00871882" w14:paraId="46CE6820" w14:textId="77777777" w:rsidTr="008A17B9">
        <w:tc>
          <w:tcPr>
            <w:tcW w:w="4181" w:type="dxa"/>
          </w:tcPr>
          <w:p w14:paraId="09FE87F1" w14:textId="77777777" w:rsidR="008F4014" w:rsidRPr="00871882" w:rsidRDefault="008F4014" w:rsidP="008A17B9">
            <w:pPr>
              <w:tabs>
                <w:tab w:val="left" w:pos="993"/>
              </w:tabs>
              <w:ind w:right="-2"/>
              <w:rPr>
                <w:rFonts w:ascii="Book Antiqua" w:hAnsi="Book Antiqua" w:cs="Lucida Sans Unicode"/>
                <w:sz w:val="16"/>
                <w:szCs w:val="16"/>
              </w:rPr>
            </w:pPr>
            <w:proofErr w:type="spellStart"/>
            <w:r w:rsidRPr="00871882">
              <w:rPr>
                <w:rFonts w:ascii="Book Antiqua" w:hAnsi="Book Antiqua" w:cs="Lucida Sans Unicode"/>
                <w:sz w:val="16"/>
                <w:szCs w:val="16"/>
              </w:rPr>
              <w:t>Ταχ</w:t>
            </w:r>
            <w:proofErr w:type="spellEnd"/>
            <w:r w:rsidRPr="00871882">
              <w:rPr>
                <w:rFonts w:ascii="Book Antiqua" w:hAnsi="Book Antiqua" w:cs="Lucida Sans Unicode"/>
                <w:sz w:val="16"/>
                <w:szCs w:val="16"/>
              </w:rPr>
              <w:t>. Δ/</w:t>
            </w:r>
            <w:proofErr w:type="spellStart"/>
            <w:r w:rsidRPr="00871882">
              <w:rPr>
                <w:rFonts w:ascii="Book Antiqua" w:hAnsi="Book Antiqua" w:cs="Lucida Sans Unicode"/>
                <w:sz w:val="16"/>
                <w:szCs w:val="16"/>
              </w:rPr>
              <w:t>νση</w:t>
            </w:r>
            <w:proofErr w:type="spellEnd"/>
            <w:r w:rsidRPr="00871882">
              <w:rPr>
                <w:rFonts w:ascii="Book Antiqua" w:hAnsi="Book Antiqua" w:cs="Lucida Sans Unicode"/>
                <w:sz w:val="16"/>
                <w:szCs w:val="16"/>
              </w:rPr>
              <w:tab/>
              <w:t xml:space="preserve">  : Γ. Γενναδίου 4 - Τ.Κ. 106 78-Αθήνα</w:t>
            </w:r>
          </w:p>
          <w:p w14:paraId="04B1ED57" w14:textId="77777777" w:rsidR="008F4014" w:rsidRPr="008F4014" w:rsidRDefault="008F4014" w:rsidP="008A17B9">
            <w:pPr>
              <w:tabs>
                <w:tab w:val="left" w:pos="993"/>
              </w:tabs>
              <w:ind w:right="-2"/>
              <w:rPr>
                <w:rFonts w:ascii="Book Antiqua" w:hAnsi="Book Antiqua" w:cs="Lucida Sans Unicode"/>
                <w:sz w:val="16"/>
                <w:szCs w:val="16"/>
                <w:lang w:val="de-DE"/>
              </w:rPr>
            </w:pPr>
            <w:r w:rsidRPr="00871882">
              <w:rPr>
                <w:rFonts w:ascii="Book Antiqua" w:hAnsi="Book Antiqua" w:cs="Lucida Sans Unicode"/>
                <w:sz w:val="16"/>
                <w:szCs w:val="16"/>
              </w:rPr>
              <w:t>Τηλέφωνα</w:t>
            </w:r>
            <w:r w:rsidRPr="008F4014">
              <w:rPr>
                <w:rFonts w:ascii="Book Antiqua" w:hAnsi="Book Antiqua" w:cs="Lucida Sans Unicode"/>
                <w:sz w:val="16"/>
                <w:szCs w:val="16"/>
                <w:lang w:val="de-DE"/>
              </w:rPr>
              <w:tab/>
              <w:t xml:space="preserve">  : 210 330 7450,-60,-70,-80,-90</w:t>
            </w:r>
          </w:p>
          <w:p w14:paraId="38EACC57" w14:textId="77777777" w:rsidR="008F4014" w:rsidRPr="008F4014" w:rsidRDefault="008F4014" w:rsidP="008A17B9">
            <w:pPr>
              <w:tabs>
                <w:tab w:val="left" w:pos="993"/>
              </w:tabs>
              <w:ind w:right="-2"/>
              <w:rPr>
                <w:rFonts w:ascii="Book Antiqua" w:hAnsi="Book Antiqua" w:cs="Lucida Sans Unicode"/>
                <w:sz w:val="16"/>
                <w:szCs w:val="16"/>
                <w:lang w:val="de-DE"/>
              </w:rPr>
            </w:pPr>
            <w:r w:rsidRPr="008F4014">
              <w:rPr>
                <w:rFonts w:ascii="Book Antiqua" w:hAnsi="Book Antiqua" w:cs="Lucida Sans Unicode"/>
                <w:sz w:val="16"/>
                <w:szCs w:val="16"/>
                <w:lang w:val="de-DE"/>
              </w:rPr>
              <w:t>FAX</w:t>
            </w:r>
            <w:r w:rsidRPr="008F4014">
              <w:rPr>
                <w:rFonts w:ascii="Book Antiqua" w:hAnsi="Book Antiqua" w:cs="Lucida Sans Unicode"/>
                <w:sz w:val="16"/>
                <w:szCs w:val="16"/>
                <w:lang w:val="de-DE"/>
              </w:rPr>
              <w:tab/>
              <w:t xml:space="preserve">  : 210 384 8335</w:t>
            </w:r>
          </w:p>
          <w:p w14:paraId="22AE061D" w14:textId="77777777" w:rsidR="008F4014" w:rsidRPr="008F4014" w:rsidRDefault="008F4014" w:rsidP="008A17B9">
            <w:pPr>
              <w:tabs>
                <w:tab w:val="left" w:pos="993"/>
              </w:tabs>
              <w:ind w:right="-2"/>
              <w:rPr>
                <w:rFonts w:ascii="Book Antiqua" w:hAnsi="Book Antiqua" w:cs="Lucida Sans Unicode"/>
                <w:sz w:val="16"/>
                <w:szCs w:val="16"/>
                <w:lang w:val="de-DE"/>
              </w:rPr>
            </w:pPr>
            <w:proofErr w:type="spellStart"/>
            <w:r w:rsidRPr="00871882">
              <w:rPr>
                <w:rFonts w:ascii="Book Antiqua" w:hAnsi="Book Antiqua" w:cs="Lucida Sans Unicode"/>
                <w:sz w:val="16"/>
                <w:szCs w:val="16"/>
                <w:lang w:val="de-DE"/>
              </w:rPr>
              <w:t>E</w:t>
            </w:r>
            <w:r w:rsidRPr="008F4014">
              <w:rPr>
                <w:rFonts w:ascii="Book Antiqua" w:hAnsi="Book Antiqua" w:cs="Lucida Sans Unicode"/>
                <w:sz w:val="16"/>
                <w:szCs w:val="16"/>
                <w:lang w:val="de-DE"/>
              </w:rPr>
              <w:t>-</w:t>
            </w:r>
            <w:r w:rsidRPr="00871882">
              <w:rPr>
                <w:rFonts w:ascii="Book Antiqua" w:hAnsi="Book Antiqua" w:cs="Lucida Sans Unicode"/>
                <w:sz w:val="16"/>
                <w:szCs w:val="16"/>
                <w:lang w:val="de-DE"/>
              </w:rPr>
              <w:t>mail</w:t>
            </w:r>
            <w:proofErr w:type="spellEnd"/>
            <w:r w:rsidRPr="008F4014">
              <w:rPr>
                <w:rFonts w:ascii="Book Antiqua" w:hAnsi="Book Antiqua" w:cs="Lucida Sans Unicode"/>
                <w:sz w:val="16"/>
                <w:szCs w:val="16"/>
                <w:lang w:val="de-DE"/>
              </w:rPr>
              <w:t xml:space="preserve">               : </w:t>
            </w:r>
            <w:r w:rsidRPr="00871882">
              <w:rPr>
                <w:rFonts w:ascii="Book Antiqua" w:hAnsi="Book Antiqua" w:cs="Lucida Sans Unicode"/>
                <w:sz w:val="16"/>
                <w:szCs w:val="16"/>
                <w:lang w:val="de-DE"/>
              </w:rPr>
              <w:t>notaries</w:t>
            </w:r>
            <w:r w:rsidRPr="008F4014">
              <w:rPr>
                <w:rFonts w:ascii="Book Antiqua" w:hAnsi="Book Antiqua" w:cs="Lucida Sans Unicode"/>
                <w:sz w:val="16"/>
                <w:szCs w:val="16"/>
                <w:lang w:val="de-DE"/>
              </w:rPr>
              <w:t>@</w:t>
            </w:r>
            <w:r w:rsidRPr="00871882">
              <w:rPr>
                <w:rFonts w:ascii="Book Antiqua" w:hAnsi="Book Antiqua" w:cs="Lucida Sans Unicode"/>
                <w:sz w:val="16"/>
                <w:szCs w:val="16"/>
                <w:lang w:val="de-DE"/>
              </w:rPr>
              <w:t>notariat</w:t>
            </w:r>
            <w:r w:rsidRPr="008F4014">
              <w:rPr>
                <w:rFonts w:ascii="Book Antiqua" w:hAnsi="Book Antiqua" w:cs="Lucida Sans Unicode"/>
                <w:sz w:val="16"/>
                <w:szCs w:val="16"/>
                <w:lang w:val="de-DE"/>
              </w:rPr>
              <w:t>.</w:t>
            </w:r>
            <w:r w:rsidRPr="00871882">
              <w:rPr>
                <w:rFonts w:ascii="Book Antiqua" w:hAnsi="Book Antiqua" w:cs="Lucida Sans Unicode"/>
                <w:sz w:val="16"/>
                <w:szCs w:val="16"/>
                <w:lang w:val="de-DE"/>
              </w:rPr>
              <w:t>gr</w:t>
            </w:r>
          </w:p>
          <w:p w14:paraId="092D5E94" w14:textId="3063B255" w:rsidR="008F4014" w:rsidRPr="00C82B15" w:rsidRDefault="008F4014" w:rsidP="008A17B9">
            <w:pPr>
              <w:tabs>
                <w:tab w:val="left" w:pos="993"/>
              </w:tabs>
              <w:ind w:right="-2"/>
              <w:rPr>
                <w:rFonts w:ascii="Book Antiqua" w:hAnsi="Book Antiqua" w:cs="Lucida Sans Unicode"/>
                <w:sz w:val="16"/>
                <w:szCs w:val="16"/>
                <w:lang w:val="en-US"/>
              </w:rPr>
            </w:pPr>
            <w:r w:rsidRPr="00871882">
              <w:rPr>
                <w:rFonts w:ascii="Book Antiqua" w:hAnsi="Book Antiqua" w:cs="Lucida Sans Unicode"/>
                <w:sz w:val="16"/>
                <w:szCs w:val="16"/>
              </w:rPr>
              <w:t xml:space="preserve">Πληροφορίες  : </w:t>
            </w:r>
            <w:r>
              <w:rPr>
                <w:rFonts w:ascii="Book Antiqua" w:hAnsi="Book Antiqua" w:cs="Lucida Sans Unicode"/>
                <w:sz w:val="16"/>
                <w:szCs w:val="16"/>
              </w:rPr>
              <w:t xml:space="preserve">Γεώργιος </w:t>
            </w:r>
            <w:proofErr w:type="spellStart"/>
            <w:r>
              <w:rPr>
                <w:rFonts w:ascii="Book Antiqua" w:hAnsi="Book Antiqua" w:cs="Lucida Sans Unicode"/>
                <w:sz w:val="16"/>
                <w:szCs w:val="16"/>
              </w:rPr>
              <w:t>Πούλιος</w:t>
            </w:r>
            <w:proofErr w:type="spellEnd"/>
          </w:p>
          <w:p w14:paraId="2C9217A7" w14:textId="77777777" w:rsidR="008F4014" w:rsidRPr="00CC1810" w:rsidRDefault="008F4014" w:rsidP="008A17B9">
            <w:pPr>
              <w:tabs>
                <w:tab w:val="left" w:pos="993"/>
              </w:tabs>
              <w:ind w:right="-2"/>
              <w:rPr>
                <w:rFonts w:ascii="Book Antiqua" w:hAnsi="Book Antiqua" w:cs="Lucida Sans Unicode"/>
                <w:b/>
                <w:bCs/>
                <w:sz w:val="18"/>
                <w:szCs w:val="18"/>
              </w:rPr>
            </w:pPr>
          </w:p>
        </w:tc>
        <w:tc>
          <w:tcPr>
            <w:tcW w:w="425" w:type="dxa"/>
          </w:tcPr>
          <w:p w14:paraId="7BA22ADF" w14:textId="77777777" w:rsidR="008F4014" w:rsidRPr="00871882" w:rsidRDefault="008F4014" w:rsidP="008A17B9">
            <w:pPr>
              <w:rPr>
                <w:rFonts w:ascii="Book Antiqua" w:hAnsi="Book Antiqua" w:cs="Lucida Sans Unicode"/>
                <w:sz w:val="16"/>
                <w:szCs w:val="16"/>
              </w:rPr>
            </w:pPr>
          </w:p>
        </w:tc>
        <w:tc>
          <w:tcPr>
            <w:tcW w:w="4536" w:type="dxa"/>
          </w:tcPr>
          <w:p w14:paraId="1753989D" w14:textId="77777777" w:rsidR="008F4014" w:rsidRPr="00190654" w:rsidRDefault="008F4014" w:rsidP="008A17B9">
            <w:pPr>
              <w:ind w:right="918"/>
              <w:rPr>
                <w:rFonts w:ascii="Book Antiqua" w:hAnsi="Book Antiqua"/>
                <w:b/>
                <w:u w:val="single"/>
              </w:rPr>
            </w:pPr>
            <w:r w:rsidRPr="00190654">
              <w:rPr>
                <w:rFonts w:ascii="Book Antiqua" w:hAnsi="Book Antiqua"/>
                <w:b/>
                <w:u w:val="single"/>
              </w:rPr>
              <w:t>Προς</w:t>
            </w:r>
          </w:p>
          <w:p w14:paraId="7D126C37" w14:textId="77777777" w:rsidR="008F4014" w:rsidRPr="00190654" w:rsidRDefault="008F4014" w:rsidP="008A17B9">
            <w:pPr>
              <w:ind w:right="918"/>
              <w:rPr>
                <w:rFonts w:ascii="Book Antiqua" w:hAnsi="Book Antiqua"/>
              </w:rPr>
            </w:pPr>
            <w:r w:rsidRPr="00190654">
              <w:rPr>
                <w:rFonts w:ascii="Book Antiqua" w:hAnsi="Book Antiqua"/>
              </w:rPr>
              <w:t>Όλ</w:t>
            </w:r>
            <w:r>
              <w:rPr>
                <w:rFonts w:ascii="Book Antiqua" w:hAnsi="Book Antiqua"/>
              </w:rPr>
              <w:t xml:space="preserve">ους </w:t>
            </w:r>
            <w:r w:rsidRPr="00190654">
              <w:rPr>
                <w:rFonts w:ascii="Book Antiqua" w:hAnsi="Book Antiqua"/>
              </w:rPr>
              <w:t>τ</w:t>
            </w:r>
            <w:r>
              <w:rPr>
                <w:rFonts w:ascii="Book Antiqua" w:hAnsi="Book Antiqua"/>
              </w:rPr>
              <w:t>ους</w:t>
            </w:r>
            <w:r w:rsidRPr="00190654">
              <w:rPr>
                <w:rFonts w:ascii="Book Antiqua" w:hAnsi="Book Antiqua"/>
              </w:rPr>
              <w:t xml:space="preserve"> </w:t>
            </w:r>
            <w:r>
              <w:rPr>
                <w:rFonts w:ascii="Book Antiqua" w:hAnsi="Book Antiqua"/>
              </w:rPr>
              <w:t>συμβολαιογράφους</w:t>
            </w:r>
            <w:r w:rsidRPr="00190654">
              <w:rPr>
                <w:rFonts w:ascii="Book Antiqua" w:hAnsi="Book Antiqua"/>
              </w:rPr>
              <w:t xml:space="preserve"> </w:t>
            </w:r>
            <w:r>
              <w:rPr>
                <w:rFonts w:ascii="Book Antiqua" w:hAnsi="Book Antiqua"/>
              </w:rPr>
              <w:t>της</w:t>
            </w:r>
            <w:r w:rsidRPr="00190654">
              <w:rPr>
                <w:rFonts w:ascii="Book Antiqua" w:hAnsi="Book Antiqua"/>
              </w:rPr>
              <w:t xml:space="preserve"> </w:t>
            </w:r>
            <w:r>
              <w:rPr>
                <w:rFonts w:ascii="Book Antiqua" w:hAnsi="Book Antiqua"/>
              </w:rPr>
              <w:t>χώρας</w:t>
            </w:r>
          </w:p>
        </w:tc>
      </w:tr>
    </w:tbl>
    <w:p w14:paraId="777D6E0F" w14:textId="77777777" w:rsidR="008F4014" w:rsidRPr="00190654" w:rsidRDefault="008F4014" w:rsidP="008F4014">
      <w:pPr>
        <w:ind w:right="-625"/>
        <w:jc w:val="both"/>
        <w:rPr>
          <w:sz w:val="16"/>
          <w:szCs w:val="16"/>
        </w:rPr>
      </w:pPr>
    </w:p>
    <w:p w14:paraId="21F43EDF" w14:textId="77777777" w:rsidR="008F4014" w:rsidRDefault="008F4014" w:rsidP="008F4014">
      <w:pPr>
        <w:ind w:right="-51"/>
        <w:jc w:val="both"/>
        <w:rPr>
          <w:rFonts w:ascii="Book Antiqua" w:hAnsi="Book Antiqua" w:cs="Tahoma"/>
          <w:b/>
          <w:spacing w:val="40"/>
          <w:sz w:val="26"/>
          <w:szCs w:val="26"/>
          <w:u w:val="single"/>
          <w:lang w:eastAsia="x-none"/>
        </w:rPr>
      </w:pPr>
    </w:p>
    <w:p w14:paraId="321CA995" w14:textId="0C2C4EBE" w:rsidR="008F4014" w:rsidRPr="00166AE3" w:rsidRDefault="008F4014" w:rsidP="008F4014">
      <w:pPr>
        <w:ind w:right="-51"/>
        <w:jc w:val="both"/>
        <w:rPr>
          <w:rFonts w:ascii="Book Antiqua" w:hAnsi="Book Antiqua" w:cs="Tahoma"/>
          <w:b/>
          <w:spacing w:val="20"/>
          <w:sz w:val="28"/>
          <w:szCs w:val="28"/>
          <w:lang w:eastAsia="x-none"/>
        </w:rPr>
      </w:pPr>
      <w:r w:rsidRPr="00166AE3">
        <w:rPr>
          <w:rFonts w:ascii="Book Antiqua" w:hAnsi="Book Antiqua" w:cs="Tahoma"/>
          <w:b/>
          <w:spacing w:val="20"/>
          <w:sz w:val="28"/>
          <w:szCs w:val="28"/>
          <w:u w:val="single"/>
          <w:lang w:eastAsia="x-none"/>
        </w:rPr>
        <w:t>ΘΕΜΑ</w:t>
      </w:r>
      <w:r w:rsidRPr="00166AE3">
        <w:rPr>
          <w:rFonts w:ascii="Book Antiqua" w:hAnsi="Book Antiqua" w:cs="Tahoma"/>
          <w:b/>
          <w:spacing w:val="20"/>
          <w:sz w:val="28"/>
          <w:szCs w:val="28"/>
          <w:lang w:eastAsia="x-none"/>
        </w:rPr>
        <w:t xml:space="preserve">: </w:t>
      </w:r>
      <w:r w:rsidRPr="008A17B9">
        <w:rPr>
          <w:rFonts w:ascii="Book Antiqua" w:hAnsi="Book Antiqua" w:cs="Tahoma"/>
          <w:b/>
          <w:i/>
          <w:spacing w:val="20"/>
          <w:sz w:val="28"/>
          <w:szCs w:val="28"/>
          <w:lang w:eastAsia="x-none"/>
        </w:rPr>
        <w:t>Επισκόπηση διατάξεων συμβολαιογραφικού ε</w:t>
      </w:r>
      <w:r w:rsidRPr="008A17B9">
        <w:rPr>
          <w:rFonts w:ascii="Book Antiqua" w:hAnsi="Book Antiqua" w:cs="Tahoma"/>
          <w:b/>
          <w:i/>
          <w:spacing w:val="20"/>
          <w:sz w:val="28"/>
          <w:szCs w:val="28"/>
          <w:lang w:eastAsia="x-none"/>
        </w:rPr>
        <w:t>ν</w:t>
      </w:r>
      <w:r w:rsidRPr="008A17B9">
        <w:rPr>
          <w:rFonts w:ascii="Book Antiqua" w:hAnsi="Book Antiqua" w:cs="Tahoma"/>
          <w:b/>
          <w:i/>
          <w:spacing w:val="20"/>
          <w:sz w:val="28"/>
          <w:szCs w:val="28"/>
          <w:lang w:eastAsia="x-none"/>
        </w:rPr>
        <w:t>διαφέροντος Ν.</w:t>
      </w:r>
      <w:r w:rsidR="008A17B9" w:rsidRPr="008A17B9">
        <w:rPr>
          <w:rFonts w:ascii="Book Antiqua" w:hAnsi="Book Antiqua" w:cs="Tahoma"/>
          <w:b/>
          <w:i/>
          <w:spacing w:val="20"/>
          <w:sz w:val="28"/>
          <w:szCs w:val="28"/>
          <w:lang w:eastAsia="x-none"/>
        </w:rPr>
        <w:t xml:space="preserve"> </w:t>
      </w:r>
      <w:r w:rsidR="008A17B9">
        <w:rPr>
          <w:rFonts w:ascii="Book Antiqua" w:hAnsi="Book Antiqua" w:cs="Tahoma"/>
          <w:b/>
          <w:i/>
          <w:spacing w:val="20"/>
          <w:sz w:val="28"/>
          <w:szCs w:val="28"/>
          <w:lang w:eastAsia="x-none"/>
        </w:rPr>
        <w:t xml:space="preserve">4685/2020 (Α’ </w:t>
      </w:r>
      <w:r w:rsidRPr="008A17B9">
        <w:rPr>
          <w:rFonts w:ascii="Book Antiqua" w:hAnsi="Book Antiqua" w:cs="Tahoma"/>
          <w:b/>
          <w:i/>
          <w:spacing w:val="20"/>
          <w:sz w:val="28"/>
          <w:szCs w:val="28"/>
          <w:lang w:eastAsia="x-none"/>
        </w:rPr>
        <w:t>92) «Εκσυγχρονισμός περ</w:t>
      </w:r>
      <w:r w:rsidRPr="008A17B9">
        <w:rPr>
          <w:rFonts w:ascii="Book Antiqua" w:hAnsi="Book Antiqua" w:cs="Tahoma"/>
          <w:b/>
          <w:i/>
          <w:spacing w:val="20"/>
          <w:sz w:val="28"/>
          <w:szCs w:val="28"/>
          <w:lang w:eastAsia="x-none"/>
        </w:rPr>
        <w:t>ι</w:t>
      </w:r>
      <w:r w:rsidRPr="008A17B9">
        <w:rPr>
          <w:rFonts w:ascii="Book Antiqua" w:hAnsi="Book Antiqua" w:cs="Tahoma"/>
          <w:b/>
          <w:i/>
          <w:spacing w:val="20"/>
          <w:sz w:val="28"/>
          <w:szCs w:val="28"/>
          <w:lang w:eastAsia="x-none"/>
        </w:rPr>
        <w:t>βαλλοντικής νομοθεσίας, ενσωμάτωση στην ελληνική ν</w:t>
      </w:r>
      <w:r w:rsidRPr="008A17B9">
        <w:rPr>
          <w:rFonts w:ascii="Book Antiqua" w:hAnsi="Book Antiqua" w:cs="Tahoma"/>
          <w:b/>
          <w:i/>
          <w:spacing w:val="20"/>
          <w:sz w:val="28"/>
          <w:szCs w:val="28"/>
          <w:lang w:eastAsia="x-none"/>
        </w:rPr>
        <w:t>ο</w:t>
      </w:r>
      <w:r w:rsidRPr="008A17B9">
        <w:rPr>
          <w:rFonts w:ascii="Book Antiqua" w:hAnsi="Book Antiqua" w:cs="Tahoma"/>
          <w:b/>
          <w:i/>
          <w:spacing w:val="20"/>
          <w:sz w:val="28"/>
          <w:szCs w:val="28"/>
          <w:lang w:eastAsia="x-none"/>
        </w:rPr>
        <w:t>μοθεσία των Οδηγιών 2018/844 και 2019/692 του Ευρωπ</w:t>
      </w:r>
      <w:r w:rsidRPr="008A17B9">
        <w:rPr>
          <w:rFonts w:ascii="Book Antiqua" w:hAnsi="Book Antiqua" w:cs="Tahoma"/>
          <w:b/>
          <w:i/>
          <w:spacing w:val="20"/>
          <w:sz w:val="28"/>
          <w:szCs w:val="28"/>
          <w:lang w:eastAsia="x-none"/>
        </w:rPr>
        <w:t>α</w:t>
      </w:r>
      <w:r w:rsidRPr="008A17B9">
        <w:rPr>
          <w:rFonts w:ascii="Book Antiqua" w:hAnsi="Book Antiqua" w:cs="Tahoma"/>
          <w:b/>
          <w:i/>
          <w:spacing w:val="20"/>
          <w:sz w:val="28"/>
          <w:szCs w:val="28"/>
          <w:lang w:eastAsia="x-none"/>
        </w:rPr>
        <w:t>ϊκού Κοινοβουλίου και του Συμβουλίου και λοιπές διατ</w:t>
      </w:r>
      <w:r w:rsidRPr="008A17B9">
        <w:rPr>
          <w:rFonts w:ascii="Book Antiqua" w:hAnsi="Book Antiqua" w:cs="Tahoma"/>
          <w:b/>
          <w:i/>
          <w:spacing w:val="20"/>
          <w:sz w:val="28"/>
          <w:szCs w:val="28"/>
          <w:lang w:eastAsia="x-none"/>
        </w:rPr>
        <w:t>ά</w:t>
      </w:r>
      <w:r w:rsidRPr="008A17B9">
        <w:rPr>
          <w:rFonts w:ascii="Book Antiqua" w:hAnsi="Book Antiqua" w:cs="Tahoma"/>
          <w:b/>
          <w:i/>
          <w:spacing w:val="20"/>
          <w:sz w:val="28"/>
          <w:szCs w:val="28"/>
          <w:lang w:eastAsia="x-none"/>
        </w:rPr>
        <w:t>ξεις»</w:t>
      </w:r>
    </w:p>
    <w:p w14:paraId="10A2984B" w14:textId="77777777" w:rsidR="008F4014" w:rsidRDefault="008F4014" w:rsidP="008F4014">
      <w:pPr>
        <w:spacing w:after="120" w:line="360" w:lineRule="auto"/>
        <w:ind w:right="-51"/>
        <w:jc w:val="both"/>
        <w:rPr>
          <w:rFonts w:ascii="Book Antiqua" w:hAnsi="Book Antiqua" w:cs="Tahoma"/>
          <w:lang w:eastAsia="x-none"/>
        </w:rPr>
      </w:pPr>
    </w:p>
    <w:p w14:paraId="48B91C95" w14:textId="77777777" w:rsidR="008F4014" w:rsidRPr="008A17B9" w:rsidRDefault="008F4014" w:rsidP="008F4014">
      <w:pPr>
        <w:spacing w:after="120" w:line="360" w:lineRule="auto"/>
        <w:ind w:right="-51"/>
        <w:jc w:val="both"/>
        <w:rPr>
          <w:rFonts w:ascii="Book Antiqua" w:hAnsi="Book Antiqua" w:cs="Tahoma"/>
          <w:sz w:val="24"/>
          <w:szCs w:val="24"/>
          <w:lang w:eastAsia="x-none"/>
        </w:rPr>
      </w:pPr>
      <w:r w:rsidRPr="008A17B9">
        <w:rPr>
          <w:rFonts w:ascii="Book Antiqua" w:hAnsi="Book Antiqua" w:cs="Tahoma"/>
          <w:sz w:val="24"/>
          <w:szCs w:val="24"/>
          <w:lang w:eastAsia="x-none"/>
        </w:rPr>
        <w:t>Κυρίες και κύριοι συνάδελφοι,</w:t>
      </w:r>
    </w:p>
    <w:p w14:paraId="77956F8B" w14:textId="4A35C388" w:rsidR="0043513C" w:rsidRPr="008A17B9" w:rsidRDefault="008F4014" w:rsidP="0043513C">
      <w:pPr>
        <w:tabs>
          <w:tab w:val="left" w:pos="567"/>
        </w:tabs>
        <w:spacing w:after="120" w:line="360" w:lineRule="auto"/>
        <w:ind w:right="-57"/>
        <w:jc w:val="both"/>
        <w:rPr>
          <w:rFonts w:ascii="Book Antiqua" w:hAnsi="Book Antiqua" w:cs="Tahoma"/>
          <w:sz w:val="24"/>
          <w:szCs w:val="24"/>
          <w:lang w:eastAsia="x-none"/>
        </w:rPr>
      </w:pPr>
      <w:r w:rsidRPr="008A17B9">
        <w:rPr>
          <w:rFonts w:ascii="Book Antiqua" w:hAnsi="Book Antiqua" w:cs="Tahoma"/>
          <w:sz w:val="24"/>
          <w:szCs w:val="24"/>
          <w:lang w:eastAsia="x-none"/>
        </w:rPr>
        <w:tab/>
        <w:t>σας ενημερώνουμε ότι δημοσιεύτηκε στο ΦΕΚ Α’</w:t>
      </w:r>
      <w:r w:rsidR="008B0CF6">
        <w:rPr>
          <w:rFonts w:ascii="Book Antiqua" w:hAnsi="Book Antiqua" w:cs="Tahoma"/>
          <w:sz w:val="24"/>
          <w:szCs w:val="24"/>
          <w:lang w:eastAsia="x-none"/>
        </w:rPr>
        <w:t xml:space="preserve"> </w:t>
      </w:r>
      <w:r w:rsidRPr="008A17B9">
        <w:rPr>
          <w:rFonts w:ascii="Book Antiqua" w:hAnsi="Book Antiqua" w:cs="Tahoma"/>
          <w:sz w:val="24"/>
          <w:szCs w:val="24"/>
          <w:lang w:eastAsia="x-none"/>
        </w:rPr>
        <w:t>92 ο Ν.</w:t>
      </w:r>
      <w:r w:rsidR="008B0CF6">
        <w:rPr>
          <w:rFonts w:ascii="Book Antiqua" w:hAnsi="Book Antiqua" w:cs="Tahoma"/>
          <w:sz w:val="24"/>
          <w:szCs w:val="24"/>
          <w:lang w:eastAsia="x-none"/>
        </w:rPr>
        <w:t xml:space="preserve"> </w:t>
      </w:r>
      <w:r w:rsidRPr="008A17B9">
        <w:rPr>
          <w:rFonts w:ascii="Book Antiqua" w:hAnsi="Book Antiqua" w:cs="Tahoma"/>
          <w:sz w:val="24"/>
          <w:szCs w:val="24"/>
          <w:lang w:eastAsia="x-none"/>
        </w:rPr>
        <w:t>4685/2020 «Ε</w:t>
      </w:r>
      <w:r w:rsidRPr="008A17B9">
        <w:rPr>
          <w:rFonts w:ascii="Book Antiqua" w:hAnsi="Book Antiqua" w:cs="Tahoma"/>
          <w:sz w:val="24"/>
          <w:szCs w:val="24"/>
          <w:lang w:eastAsia="x-none"/>
        </w:rPr>
        <w:t>κ</w:t>
      </w:r>
      <w:r w:rsidRPr="008A17B9">
        <w:rPr>
          <w:rFonts w:ascii="Book Antiqua" w:hAnsi="Book Antiqua" w:cs="Tahoma"/>
          <w:sz w:val="24"/>
          <w:szCs w:val="24"/>
          <w:lang w:eastAsia="x-none"/>
        </w:rPr>
        <w:t>συγχρονισμός περιβαλλοντικής νομοθεσίας, ενσωμάτωση στην ελληνική ν</w:t>
      </w:r>
      <w:r w:rsidRPr="008A17B9">
        <w:rPr>
          <w:rFonts w:ascii="Book Antiqua" w:hAnsi="Book Antiqua" w:cs="Tahoma"/>
          <w:sz w:val="24"/>
          <w:szCs w:val="24"/>
          <w:lang w:eastAsia="x-none"/>
        </w:rPr>
        <w:t>ο</w:t>
      </w:r>
      <w:r w:rsidRPr="008A17B9">
        <w:rPr>
          <w:rFonts w:ascii="Book Antiqua" w:hAnsi="Book Antiqua" w:cs="Tahoma"/>
          <w:sz w:val="24"/>
          <w:szCs w:val="24"/>
          <w:lang w:eastAsia="x-none"/>
        </w:rPr>
        <w:t>μοθεσία των Οδηγιών 2018/844 και 2019/692 του Ευρωπαϊκού Κοινοβουλίου και του Συμβουλίου και λοιπές διατάξεις»</w:t>
      </w:r>
      <w:r w:rsidR="006B1288" w:rsidRPr="008A17B9">
        <w:rPr>
          <w:rFonts w:ascii="Book Antiqua" w:hAnsi="Book Antiqua" w:cs="Tahoma"/>
          <w:sz w:val="24"/>
          <w:szCs w:val="24"/>
          <w:lang w:eastAsia="x-none"/>
        </w:rPr>
        <w:t>, στον οποίο</w:t>
      </w:r>
      <w:r w:rsidRPr="008A17B9">
        <w:rPr>
          <w:rFonts w:ascii="Book Antiqua" w:hAnsi="Book Antiqua" w:cs="Tahoma"/>
          <w:sz w:val="24"/>
          <w:szCs w:val="24"/>
          <w:lang w:eastAsia="x-none"/>
        </w:rPr>
        <w:t xml:space="preserve"> περιλαμβάνονται δι</w:t>
      </w:r>
      <w:r w:rsidRPr="008A17B9">
        <w:rPr>
          <w:rFonts w:ascii="Book Antiqua" w:hAnsi="Book Antiqua" w:cs="Tahoma"/>
          <w:sz w:val="24"/>
          <w:szCs w:val="24"/>
          <w:lang w:eastAsia="x-none"/>
        </w:rPr>
        <w:t>α</w:t>
      </w:r>
      <w:r w:rsidRPr="008A17B9">
        <w:rPr>
          <w:rFonts w:ascii="Book Antiqua" w:hAnsi="Book Antiqua" w:cs="Tahoma"/>
          <w:sz w:val="24"/>
          <w:szCs w:val="24"/>
          <w:lang w:eastAsia="x-none"/>
        </w:rPr>
        <w:t>τάξεις συμβολαιογραφικού ενδιαφέροντος που παρουσιάζονται συνοπτικά στο</w:t>
      </w:r>
      <w:r w:rsidR="0043513C" w:rsidRPr="008A17B9">
        <w:rPr>
          <w:rFonts w:ascii="Book Antiqua" w:hAnsi="Book Antiqua" w:cs="Tahoma"/>
          <w:sz w:val="24"/>
          <w:szCs w:val="24"/>
          <w:lang w:eastAsia="x-none"/>
        </w:rPr>
        <w:t>ν</w:t>
      </w:r>
      <w:r w:rsidRPr="008A17B9">
        <w:rPr>
          <w:rFonts w:ascii="Book Antiqua" w:hAnsi="Book Antiqua" w:cs="Tahoma"/>
          <w:sz w:val="24"/>
          <w:szCs w:val="24"/>
          <w:lang w:eastAsia="x-none"/>
        </w:rPr>
        <w:t xml:space="preserve"> Πίνακα που ακολουθεί.</w:t>
      </w:r>
    </w:p>
    <w:p w14:paraId="3C94C580" w14:textId="0EA57B86" w:rsidR="0043513C" w:rsidRPr="008A17B9" w:rsidRDefault="008F4014" w:rsidP="008A17B9">
      <w:pPr>
        <w:tabs>
          <w:tab w:val="left" w:pos="0"/>
        </w:tabs>
        <w:spacing w:after="120" w:line="360" w:lineRule="auto"/>
        <w:ind w:right="90"/>
        <w:jc w:val="center"/>
        <w:rPr>
          <w:rFonts w:ascii="Book Antiqua" w:hAnsi="Book Antiqua" w:cs="Tahoma"/>
          <w:sz w:val="24"/>
          <w:szCs w:val="24"/>
          <w:lang w:eastAsia="x-none"/>
        </w:rPr>
      </w:pPr>
      <w:r w:rsidRPr="008A17B9">
        <w:rPr>
          <w:rFonts w:ascii="Book Antiqua" w:hAnsi="Book Antiqua" w:cs="Tahoma"/>
          <w:sz w:val="24"/>
          <w:szCs w:val="24"/>
        </w:rPr>
        <w:t>Με τιμή</w:t>
      </w:r>
    </w:p>
    <w:p w14:paraId="603FA720" w14:textId="1AD59443" w:rsidR="0043513C" w:rsidRPr="008A17B9" w:rsidRDefault="008F4014" w:rsidP="008A17B9">
      <w:pPr>
        <w:pStyle w:val="a3"/>
        <w:ind w:left="0" w:right="90"/>
        <w:jc w:val="center"/>
        <w:rPr>
          <w:rFonts w:ascii="Book Antiqua" w:hAnsi="Book Antiqua" w:cs="Tahoma"/>
          <w:sz w:val="24"/>
          <w:szCs w:val="24"/>
        </w:rPr>
      </w:pPr>
      <w:r w:rsidRPr="008A17B9">
        <w:rPr>
          <w:rFonts w:ascii="Book Antiqua" w:hAnsi="Book Antiqua" w:cs="Tahoma"/>
          <w:sz w:val="24"/>
          <w:szCs w:val="24"/>
        </w:rPr>
        <w:t>Ο Πρόεδρος</w:t>
      </w:r>
    </w:p>
    <w:p w14:paraId="18B8BE6C" w14:textId="245DF84D" w:rsidR="008F4014" w:rsidRPr="008A17B9" w:rsidRDefault="008F4014" w:rsidP="0043513C">
      <w:pPr>
        <w:pStyle w:val="a3"/>
        <w:ind w:left="0" w:right="90"/>
        <w:jc w:val="center"/>
        <w:rPr>
          <w:rFonts w:ascii="Book Antiqua" w:hAnsi="Book Antiqua" w:cs="Tahoma"/>
          <w:sz w:val="24"/>
          <w:szCs w:val="24"/>
        </w:rPr>
      </w:pPr>
      <w:r w:rsidRPr="008A17B9">
        <w:rPr>
          <w:rFonts w:ascii="Book Antiqua" w:hAnsi="Book Antiqua" w:cs="Tahoma"/>
          <w:sz w:val="24"/>
          <w:szCs w:val="24"/>
        </w:rPr>
        <w:t xml:space="preserve">Γεώργιος </w:t>
      </w:r>
      <w:proofErr w:type="spellStart"/>
      <w:r w:rsidRPr="008A17B9">
        <w:rPr>
          <w:rFonts w:ascii="Book Antiqua" w:hAnsi="Book Antiqua" w:cs="Tahoma"/>
          <w:sz w:val="24"/>
          <w:szCs w:val="24"/>
        </w:rPr>
        <w:t>Ρούσκας</w:t>
      </w:r>
      <w:proofErr w:type="spellEnd"/>
    </w:p>
    <w:p w14:paraId="026DF9A6" w14:textId="77777777" w:rsidR="008F4014" w:rsidRPr="008A17B9" w:rsidRDefault="008F4014" w:rsidP="0043513C">
      <w:pPr>
        <w:ind w:right="90"/>
        <w:jc w:val="center"/>
        <w:rPr>
          <w:rFonts w:ascii="Book Antiqua" w:hAnsi="Book Antiqua" w:cs="Tahoma"/>
          <w:sz w:val="24"/>
          <w:szCs w:val="24"/>
        </w:rPr>
      </w:pPr>
    </w:p>
    <w:p w14:paraId="500F0290" w14:textId="77777777" w:rsidR="008F4014" w:rsidRPr="008A17B9" w:rsidRDefault="008F4014" w:rsidP="008F4014">
      <w:pPr>
        <w:tabs>
          <w:tab w:val="left" w:pos="5489"/>
        </w:tabs>
        <w:spacing w:line="360" w:lineRule="auto"/>
        <w:ind w:right="-57"/>
        <w:jc w:val="center"/>
        <w:rPr>
          <w:rFonts w:ascii="Book Antiqua" w:hAnsi="Book Antiqua"/>
          <w:i/>
          <w:color w:val="000000"/>
          <w:sz w:val="24"/>
          <w:szCs w:val="24"/>
        </w:rPr>
      </w:pPr>
    </w:p>
    <w:p w14:paraId="27E5C6E0" w14:textId="350B4090" w:rsidR="00155F8C" w:rsidRDefault="00155F8C" w:rsidP="005C5CDF">
      <w:pPr>
        <w:pStyle w:val="1"/>
        <w:spacing w:before="57"/>
        <w:ind w:left="1199"/>
      </w:pPr>
    </w:p>
    <w:p w14:paraId="0BB8AF34" w14:textId="47261E07" w:rsidR="00155F8C" w:rsidRDefault="00155F8C" w:rsidP="005C5CDF">
      <w:pPr>
        <w:pStyle w:val="1"/>
        <w:spacing w:before="57"/>
        <w:ind w:left="1199"/>
      </w:pPr>
    </w:p>
    <w:p w14:paraId="30F8E119" w14:textId="77777777" w:rsidR="00155F8C" w:rsidRDefault="00155F8C">
      <w:pPr>
        <w:widowControl/>
        <w:autoSpaceDE/>
        <w:autoSpaceDN/>
        <w:spacing w:after="160" w:line="259" w:lineRule="auto"/>
        <w:rPr>
          <w:b/>
          <w:bCs/>
        </w:rPr>
      </w:pPr>
      <w:r>
        <w:br w:type="page"/>
      </w:r>
    </w:p>
    <w:p w14:paraId="6A67169B" w14:textId="77777777" w:rsidR="00155F8C" w:rsidRDefault="00155F8C" w:rsidP="005C5CDF">
      <w:pPr>
        <w:pStyle w:val="1"/>
        <w:spacing w:before="57"/>
        <w:ind w:left="1199"/>
        <w:sectPr w:rsidR="00155F8C" w:rsidSect="00155F8C">
          <w:pgSz w:w="11906" w:h="16838" w:code="9"/>
          <w:pgMar w:top="1440" w:right="1797" w:bottom="851" w:left="1797" w:header="709" w:footer="709" w:gutter="0"/>
          <w:cols w:space="708"/>
          <w:docGrid w:linePitch="360"/>
        </w:sectPr>
      </w:pPr>
    </w:p>
    <w:p w14:paraId="0B6D366B" w14:textId="6C953BF8" w:rsidR="005C5CDF" w:rsidRPr="008A17B9" w:rsidRDefault="00DA7C55" w:rsidP="005C5CDF">
      <w:pPr>
        <w:pStyle w:val="1"/>
        <w:spacing w:before="57"/>
        <w:ind w:left="1199"/>
        <w:rPr>
          <w:sz w:val="24"/>
          <w:szCs w:val="24"/>
        </w:rPr>
      </w:pPr>
      <w:r w:rsidRPr="008A17B9">
        <w:rPr>
          <w:sz w:val="24"/>
          <w:szCs w:val="24"/>
        </w:rPr>
        <w:lastRenderedPageBreak/>
        <w:t>ΝΟΜΟΣ 4685/2020 (Α΄</w:t>
      </w:r>
      <w:r w:rsidR="004E63DC">
        <w:rPr>
          <w:sz w:val="24"/>
          <w:szCs w:val="24"/>
        </w:rPr>
        <w:t xml:space="preserve"> </w:t>
      </w:r>
      <w:r w:rsidRPr="008A17B9">
        <w:rPr>
          <w:sz w:val="24"/>
          <w:szCs w:val="24"/>
        </w:rPr>
        <w:t>92)</w:t>
      </w:r>
    </w:p>
    <w:p w14:paraId="4EAA6076" w14:textId="77777777" w:rsidR="005C5CDF" w:rsidRPr="008A17B9" w:rsidRDefault="005C5CDF" w:rsidP="005C5CDF">
      <w:pPr>
        <w:spacing w:line="276" w:lineRule="auto"/>
        <w:ind w:left="1238" w:right="1700" w:firstLine="1"/>
        <w:jc w:val="center"/>
        <w:rPr>
          <w:b/>
          <w:sz w:val="24"/>
          <w:szCs w:val="24"/>
        </w:rPr>
      </w:pPr>
      <w:r w:rsidRPr="008A17B9">
        <w:rPr>
          <w:b/>
          <w:sz w:val="24"/>
          <w:szCs w:val="24"/>
        </w:rPr>
        <w:t>«Εκσυγχρονισμός περιβαλλοντικής νομοθεσίας, ενσωμάτωση στην ελληνική νομοθεσία των Οδηγιών 2018/844 και 2019/692 του Ευρωπαϊκού Κοινοβουλίου και του Συμβουλίου και λοιπές διατάξεις»</w:t>
      </w:r>
    </w:p>
    <w:p w14:paraId="5B6316DB" w14:textId="77777777" w:rsidR="00DA7C55" w:rsidRPr="008A17B9" w:rsidRDefault="00DA7C55" w:rsidP="005C5CDF">
      <w:pPr>
        <w:spacing w:line="276" w:lineRule="auto"/>
        <w:ind w:left="1238" w:right="1700" w:firstLine="1"/>
        <w:jc w:val="center"/>
        <w:rPr>
          <w:b/>
          <w:sz w:val="24"/>
          <w:szCs w:val="24"/>
          <w:u w:val="single"/>
        </w:rPr>
      </w:pPr>
    </w:p>
    <w:p w14:paraId="79437AE9" w14:textId="2F5E9ABD" w:rsidR="0031001F" w:rsidRPr="008A17B9" w:rsidRDefault="0031001F" w:rsidP="005C5CDF">
      <w:pPr>
        <w:spacing w:line="276" w:lineRule="auto"/>
        <w:ind w:left="1238" w:right="1700" w:firstLine="1"/>
        <w:jc w:val="center"/>
        <w:rPr>
          <w:b/>
          <w:sz w:val="28"/>
          <w:szCs w:val="28"/>
          <w:u w:val="single"/>
        </w:rPr>
      </w:pPr>
      <w:r w:rsidRPr="008A17B9">
        <w:rPr>
          <w:b/>
          <w:sz w:val="28"/>
          <w:szCs w:val="28"/>
          <w:u w:val="single"/>
        </w:rPr>
        <w:t>Συνοπτική παρουσίαση θεμάτων συμβολαιογραφικού ενδιαφέροντος</w:t>
      </w:r>
    </w:p>
    <w:p w14:paraId="2CCF3A00" w14:textId="77777777" w:rsidR="008A17B9" w:rsidRDefault="008A17B9" w:rsidP="005C5CDF"/>
    <w:tbl>
      <w:tblPr>
        <w:tblStyle w:val="a4"/>
        <w:tblW w:w="0" w:type="auto"/>
        <w:jc w:val="center"/>
        <w:tblLook w:val="04A0" w:firstRow="1" w:lastRow="0" w:firstColumn="1" w:lastColumn="0" w:noHBand="0" w:noVBand="1"/>
      </w:tblPr>
      <w:tblGrid>
        <w:gridCol w:w="2455"/>
        <w:gridCol w:w="4756"/>
        <w:gridCol w:w="4401"/>
        <w:gridCol w:w="3151"/>
      </w:tblGrid>
      <w:tr w:rsidR="00F54047" w:rsidRPr="002F224F" w14:paraId="45D78ED3" w14:textId="77777777" w:rsidTr="0031001F">
        <w:trPr>
          <w:trHeight w:val="421"/>
          <w:jc w:val="center"/>
        </w:trPr>
        <w:tc>
          <w:tcPr>
            <w:tcW w:w="2688" w:type="dxa"/>
            <w:shd w:val="clear" w:color="auto" w:fill="D9D9D9" w:themeFill="background1" w:themeFillShade="D9"/>
          </w:tcPr>
          <w:p w14:paraId="24F0E77F" w14:textId="77777777" w:rsidR="005C5CDF" w:rsidRPr="002F224F" w:rsidRDefault="005C5CDF" w:rsidP="004E63DC">
            <w:pPr>
              <w:spacing w:before="60"/>
              <w:jc w:val="center"/>
              <w:rPr>
                <w:b/>
                <w:bCs/>
                <w:sz w:val="24"/>
                <w:szCs w:val="24"/>
              </w:rPr>
            </w:pPr>
            <w:r w:rsidRPr="002F224F">
              <w:rPr>
                <w:b/>
                <w:bCs/>
                <w:sz w:val="24"/>
                <w:szCs w:val="24"/>
              </w:rPr>
              <w:t>ΠΕΡΙΕΧΟΜΕΝΟ</w:t>
            </w:r>
          </w:p>
        </w:tc>
        <w:tc>
          <w:tcPr>
            <w:tcW w:w="5953" w:type="dxa"/>
            <w:shd w:val="clear" w:color="auto" w:fill="D9D9D9" w:themeFill="background1" w:themeFillShade="D9"/>
          </w:tcPr>
          <w:p w14:paraId="48EDB047" w14:textId="77777777" w:rsidR="005C5CDF" w:rsidRPr="002F224F" w:rsidRDefault="005C5CDF" w:rsidP="004E63DC">
            <w:pPr>
              <w:spacing w:before="60"/>
              <w:jc w:val="center"/>
              <w:rPr>
                <w:b/>
                <w:bCs/>
                <w:sz w:val="24"/>
                <w:szCs w:val="24"/>
              </w:rPr>
            </w:pPr>
            <w:r w:rsidRPr="002F224F">
              <w:rPr>
                <w:b/>
                <w:bCs/>
                <w:sz w:val="24"/>
                <w:szCs w:val="24"/>
              </w:rPr>
              <w:t>ΙΣΧΥΟΥΣΑ ΔΙΑΤΑΞΗ</w:t>
            </w:r>
          </w:p>
        </w:tc>
        <w:tc>
          <w:tcPr>
            <w:tcW w:w="5436" w:type="dxa"/>
            <w:shd w:val="clear" w:color="auto" w:fill="D9D9D9" w:themeFill="background1" w:themeFillShade="D9"/>
          </w:tcPr>
          <w:p w14:paraId="61907606" w14:textId="77777777" w:rsidR="005C5CDF" w:rsidRPr="002F224F" w:rsidRDefault="005C5CDF" w:rsidP="004E63DC">
            <w:pPr>
              <w:spacing w:before="60"/>
              <w:jc w:val="center"/>
              <w:rPr>
                <w:b/>
                <w:bCs/>
                <w:sz w:val="24"/>
                <w:szCs w:val="24"/>
              </w:rPr>
            </w:pPr>
            <w:r w:rsidRPr="002F224F">
              <w:rPr>
                <w:b/>
                <w:bCs/>
                <w:sz w:val="24"/>
                <w:szCs w:val="24"/>
              </w:rPr>
              <w:t>ΤΡΟΠΟΠΟΙΗΣΗ</w:t>
            </w:r>
          </w:p>
        </w:tc>
        <w:tc>
          <w:tcPr>
            <w:tcW w:w="3510" w:type="dxa"/>
            <w:shd w:val="clear" w:color="auto" w:fill="D9D9D9" w:themeFill="background1" w:themeFillShade="D9"/>
          </w:tcPr>
          <w:p w14:paraId="7E0CA309" w14:textId="77777777" w:rsidR="005C5CDF" w:rsidRPr="002F224F" w:rsidRDefault="005C5CDF" w:rsidP="004E63DC">
            <w:pPr>
              <w:spacing w:before="60"/>
              <w:jc w:val="center"/>
              <w:rPr>
                <w:b/>
                <w:bCs/>
                <w:sz w:val="24"/>
                <w:szCs w:val="24"/>
              </w:rPr>
            </w:pPr>
            <w:r w:rsidRPr="002F224F">
              <w:rPr>
                <w:b/>
                <w:bCs/>
                <w:sz w:val="24"/>
                <w:szCs w:val="24"/>
              </w:rPr>
              <w:t>ΣΧΟΛΙΟ</w:t>
            </w:r>
          </w:p>
        </w:tc>
      </w:tr>
      <w:tr w:rsidR="00BA0070" w14:paraId="4631EA8C" w14:textId="77777777" w:rsidTr="0031001F">
        <w:trPr>
          <w:trHeight w:val="461"/>
          <w:jc w:val="center"/>
        </w:trPr>
        <w:tc>
          <w:tcPr>
            <w:tcW w:w="2688" w:type="dxa"/>
            <w:vMerge w:val="restart"/>
            <w:shd w:val="clear" w:color="auto" w:fill="C5E0B3" w:themeFill="accent6" w:themeFillTint="66"/>
            <w:textDirection w:val="btLr"/>
          </w:tcPr>
          <w:p w14:paraId="798F068C" w14:textId="77777777" w:rsidR="00BA0070" w:rsidRPr="00EF5B89" w:rsidRDefault="00BA0070" w:rsidP="00BA0070">
            <w:pPr>
              <w:ind w:left="113" w:right="113"/>
              <w:jc w:val="center"/>
              <w:rPr>
                <w:sz w:val="52"/>
                <w:szCs w:val="52"/>
              </w:rPr>
            </w:pPr>
          </w:p>
          <w:p w14:paraId="7EFB1726" w14:textId="77777777" w:rsidR="00BA0070" w:rsidRPr="00EF5B89" w:rsidRDefault="00BA0070" w:rsidP="00BA0070">
            <w:pPr>
              <w:ind w:left="113" w:right="113"/>
              <w:jc w:val="center"/>
              <w:rPr>
                <w:sz w:val="52"/>
                <w:szCs w:val="52"/>
              </w:rPr>
            </w:pPr>
            <w:r w:rsidRPr="00EF5B89">
              <w:rPr>
                <w:sz w:val="52"/>
                <w:szCs w:val="52"/>
              </w:rPr>
              <w:t>ΤΡΟΠΟΠΟΙΗΣΗ ΔΑΣΙΚΗΣ ΝΟΜΟΘΕΣΙΑΣ</w:t>
            </w:r>
          </w:p>
        </w:tc>
        <w:tc>
          <w:tcPr>
            <w:tcW w:w="5953" w:type="dxa"/>
          </w:tcPr>
          <w:p w14:paraId="61674E14" w14:textId="77777777" w:rsidR="00EF5B89" w:rsidRDefault="00EF5B89" w:rsidP="005C5CDF">
            <w:pPr>
              <w:jc w:val="both"/>
            </w:pPr>
          </w:p>
          <w:p w14:paraId="3C9DDAC1" w14:textId="77777777" w:rsidR="00EF5B89" w:rsidRDefault="00EF5B89" w:rsidP="005C5CDF">
            <w:pPr>
              <w:jc w:val="both"/>
            </w:pPr>
          </w:p>
          <w:p w14:paraId="7427E130" w14:textId="77777777" w:rsidR="00EF5B89" w:rsidRDefault="00EF5B89" w:rsidP="005C5CDF">
            <w:pPr>
              <w:jc w:val="both"/>
            </w:pPr>
          </w:p>
          <w:p w14:paraId="01B41B66" w14:textId="2BD6DAD1" w:rsidR="00BA0070" w:rsidRDefault="00BA0070" w:rsidP="008A17B9">
            <w:pPr>
              <w:jc w:val="both"/>
            </w:pPr>
            <w:r>
              <w:t>«</w:t>
            </w:r>
            <w:r w:rsidRPr="005C5CDF">
              <w:t>7.</w:t>
            </w:r>
            <w:r w:rsidR="004E63DC">
              <w:t xml:space="preserve"> </w:t>
            </w:r>
            <w:r w:rsidRPr="005C5CDF">
              <w:t xml:space="preserve">Εκτάσεις που έχουν </w:t>
            </w:r>
            <w:proofErr w:type="spellStart"/>
            <w:r w:rsidRPr="005C5CDF">
              <w:t>απωλέσει</w:t>
            </w:r>
            <w:proofErr w:type="spellEnd"/>
            <w:r w:rsidRPr="005C5CDF">
              <w:t xml:space="preserve"> το δασικό τους χαρακτήρα πριν τις 11.6.1975 λόγω επεμβάσεων που έλαβαν χώρα με βάση σχετική διοικητική πράξη, η οποία καλύπτεται από το τεκμήριο νομ</w:t>
            </w:r>
            <w:r w:rsidRPr="005C5CDF">
              <w:t>ι</w:t>
            </w:r>
            <w:r w:rsidRPr="005C5CDF">
              <w:t>μότητας, δεν χαρακτηρίζον</w:t>
            </w:r>
            <w:r w:rsidR="008A17B9">
              <w:t xml:space="preserve">ται ως δάση ή δασικές εκτάσεις, </w:t>
            </w:r>
            <w:r w:rsidRPr="005C5CDF">
              <w:t>«ή ως εκτάσεις των παραγράφων 5α ή 5β του άρθρου 3» κατά τη διαδικασία του άρθρου 14 του ν. 998/1979 και δεν κηρύσσονται αναδ</w:t>
            </w:r>
            <w:r w:rsidRPr="005C5CDF">
              <w:t>α</w:t>
            </w:r>
            <w:r w:rsidRPr="005C5CDF">
              <w:t>σωτέες</w:t>
            </w:r>
            <w:r>
              <w:t>»</w:t>
            </w:r>
            <w:r w:rsidRPr="005C5CDF">
              <w:t>.</w:t>
            </w:r>
          </w:p>
        </w:tc>
        <w:tc>
          <w:tcPr>
            <w:tcW w:w="5436" w:type="dxa"/>
          </w:tcPr>
          <w:p w14:paraId="0F3D2B40" w14:textId="135CBDC3" w:rsidR="00EF5B89" w:rsidRPr="00EF5B89" w:rsidRDefault="00EF5B89" w:rsidP="00EF5B89">
            <w:pPr>
              <w:jc w:val="both"/>
              <w:rPr>
                <w:b/>
                <w:bCs/>
              </w:rPr>
            </w:pPr>
            <w:r w:rsidRPr="00EF5B89">
              <w:rPr>
                <w:b/>
                <w:bCs/>
              </w:rPr>
              <w:t>β. Το πρώτο εδάφιο της παραγράφου 7 του άρθρου 3 του ν. 998/1979 αντικαθίσταται ως εξής:</w:t>
            </w:r>
          </w:p>
          <w:p w14:paraId="3188C8E3" w14:textId="77777777" w:rsidR="00BA0070" w:rsidRDefault="00DA7C55" w:rsidP="008A17B9">
            <w:pPr>
              <w:jc w:val="both"/>
            </w:pPr>
            <w:r>
              <w:t xml:space="preserve">«7. Εκτάσεις που έχουν </w:t>
            </w:r>
            <w:proofErr w:type="spellStart"/>
            <w:r w:rsidR="00EF5B89">
              <w:t>απωλέσει</w:t>
            </w:r>
            <w:proofErr w:type="spellEnd"/>
            <w:r>
              <w:t xml:space="preserve"> το δασικό τους χαρακτήρα πριν τις 11.6.1975 λόγω </w:t>
            </w:r>
            <w:r>
              <w:t>ε</w:t>
            </w:r>
            <w:r>
              <w:t>πεμβάσεων που έλαβαν χώρα με βάση σχετ</w:t>
            </w:r>
            <w:r>
              <w:t>ι</w:t>
            </w:r>
            <w:r>
              <w:t>κή διοικητική πράξη, η οποία καλύπτεται από</w:t>
            </w:r>
            <w:r w:rsidR="008A17B9">
              <w:t xml:space="preserve"> </w:t>
            </w:r>
            <w:r>
              <w:t>το τεκμήριο νομιμότητας, δεν χαρακτηρίζ</w:t>
            </w:r>
            <w:r>
              <w:t>ο</w:t>
            </w:r>
            <w:r>
              <w:t>νται ως δάση ή δασικές εκτάσεις ή ως εκτ</w:t>
            </w:r>
            <w:r>
              <w:t>ά</w:t>
            </w:r>
            <w:r>
              <w:t>σεις των παραγράφων 5α ή 5β του άρθρου 3, κατά τη διαδικασία του άρθρου 14 ή κατά τη διαδικασία κατάρτισης δασικού χάρτη ή αν</w:t>
            </w:r>
            <w:r>
              <w:t>α</w:t>
            </w:r>
            <w:r>
              <w:t>μόρφωσης κυρωμένου δασικού χάρτη και δεν κηρύσσονται αναδασωτέες εφόσον διατ</w:t>
            </w:r>
            <w:r>
              <w:t>η</w:t>
            </w:r>
            <w:r>
              <w:t>ρούν τη χρήση που τους αποδόθηκε. Διοικητ</w:t>
            </w:r>
            <w:r>
              <w:t>ι</w:t>
            </w:r>
            <w:r>
              <w:t>κές πράξεις του προηγούμενου εδαφίου είναι ιδίως: α. πράξεις που εκδόθηκαν στο πλαίσιο της αγροτικής νομοθεσίας, όπως: αποφάσεις Επιτροπών Απαλλοτριώσεων για το σύνολο των εκτάσεων των οποίων επελήφθησαν (</w:t>
            </w:r>
            <w:proofErr w:type="spellStart"/>
            <w:r>
              <w:t>κληροτεμάχια</w:t>
            </w:r>
            <w:proofErr w:type="spellEnd"/>
            <w:r>
              <w:t xml:space="preserve">, εξαιρεθείσες υπέρ ιδιοκτητών </w:t>
            </w:r>
            <w:r>
              <w:lastRenderedPageBreak/>
              <w:t>εκτάσεις, ιδιοκτησίες, διαθέσιμες και κοιν</w:t>
            </w:r>
            <w:r>
              <w:t>ό</w:t>
            </w:r>
            <w:r>
              <w:t>χρηστες εκτάσεις), διανομές και</w:t>
            </w:r>
            <w:r w:rsidR="00EF5B89">
              <w:t xml:space="preserve"> </w:t>
            </w:r>
            <w:r>
              <w:t>αναδασμοί για το σύνολο των εκτάσεων που αναφέρ</w:t>
            </w:r>
            <w:r>
              <w:t>ο</w:t>
            </w:r>
            <w:r>
              <w:t>νται στα σχετικά κτηματολογικά διαγράμμ</w:t>
            </w:r>
            <w:r>
              <w:t>α</w:t>
            </w:r>
            <w:r>
              <w:t>τα, άδειες ή</w:t>
            </w:r>
            <w:r w:rsidR="00EF5B89">
              <w:t xml:space="preserve"> </w:t>
            </w:r>
            <w:r>
              <w:t>αποφάσεις Υπουργού ή Νομάρχη για κάθε περίπτωση</w:t>
            </w:r>
            <w:r w:rsidR="00EF5B89">
              <w:t xml:space="preserve"> </w:t>
            </w:r>
            <w:r>
              <w:t>μεταβίβασης αγροτικών ακινήτων που έχουν αποδοθεί</w:t>
            </w:r>
            <w:r w:rsidR="00EF5B89">
              <w:t xml:space="preserve"> </w:t>
            </w:r>
            <w:r>
              <w:t>για γεωργική ή κτηνοτροφική χρήση, αμπελουργικά και</w:t>
            </w:r>
            <w:r w:rsidR="00EF5B89">
              <w:t xml:space="preserve"> </w:t>
            </w:r>
            <w:r>
              <w:t>ελα</w:t>
            </w:r>
            <w:r>
              <w:t>ι</w:t>
            </w:r>
            <w:r>
              <w:t>ουργικά κτηματολόγια και</w:t>
            </w:r>
            <w:r w:rsidR="00EF5B89">
              <w:t xml:space="preserve"> </w:t>
            </w:r>
            <w:r>
              <w:t>β. πράξεις που ε</w:t>
            </w:r>
            <w:r>
              <w:t>κ</w:t>
            </w:r>
            <w:r>
              <w:t>δόθηκαν με σκοπό τη βιομηχανική</w:t>
            </w:r>
            <w:r w:rsidR="00EF5B89">
              <w:t xml:space="preserve"> </w:t>
            </w:r>
            <w:r>
              <w:t>και τουρ</w:t>
            </w:r>
            <w:r>
              <w:t>ι</w:t>
            </w:r>
            <w:r>
              <w:t>στική ανάπτυξη της χώρας, όπως απαλλ</w:t>
            </w:r>
            <w:r>
              <w:t>ο</w:t>
            </w:r>
            <w:r>
              <w:t>τριώσεις με σκοπό την εγκατάσταση βιομηχ</w:t>
            </w:r>
            <w:r>
              <w:t>α</w:t>
            </w:r>
            <w:r>
              <w:t>νικής ή τουριστικής μονάδας ή άδειες εγκ</w:t>
            </w:r>
            <w:r>
              <w:t>α</w:t>
            </w:r>
            <w:r>
              <w:t>τάστασης ή/και λειτουργίας βιομηχανικής ή τουριστικής μονάδας».</w:t>
            </w:r>
          </w:p>
          <w:p w14:paraId="0D1D8854" w14:textId="640A299C" w:rsidR="008A17B9" w:rsidRDefault="008A17B9" w:rsidP="008A17B9">
            <w:pPr>
              <w:jc w:val="both"/>
            </w:pPr>
          </w:p>
        </w:tc>
        <w:tc>
          <w:tcPr>
            <w:tcW w:w="3510" w:type="dxa"/>
          </w:tcPr>
          <w:p w14:paraId="4103B48A" w14:textId="58CCB8E6" w:rsidR="00BA0070" w:rsidRPr="00EF5B89" w:rsidRDefault="00BA0070" w:rsidP="005C5CDF">
            <w:pPr>
              <w:jc w:val="both"/>
              <w:rPr>
                <w:b/>
                <w:bCs/>
              </w:rPr>
            </w:pPr>
            <w:r w:rsidRPr="00EF5B89">
              <w:rPr>
                <w:b/>
                <w:bCs/>
              </w:rPr>
              <w:lastRenderedPageBreak/>
              <w:t>Αρ.</w:t>
            </w:r>
            <w:r w:rsidR="008A17B9">
              <w:rPr>
                <w:b/>
                <w:bCs/>
              </w:rPr>
              <w:t xml:space="preserve"> </w:t>
            </w:r>
            <w:r w:rsidRPr="00EF5B89">
              <w:rPr>
                <w:b/>
                <w:bCs/>
              </w:rPr>
              <w:t xml:space="preserve">48 </w:t>
            </w:r>
            <w:r w:rsidR="008B0CF6">
              <w:rPr>
                <w:b/>
                <w:bCs/>
              </w:rPr>
              <w:t>παρ. 1 β</w:t>
            </w:r>
          </w:p>
        </w:tc>
      </w:tr>
      <w:tr w:rsidR="00BA0070" w14:paraId="4F308A4B" w14:textId="77777777" w:rsidTr="0031001F">
        <w:trPr>
          <w:trHeight w:val="421"/>
          <w:jc w:val="center"/>
        </w:trPr>
        <w:tc>
          <w:tcPr>
            <w:tcW w:w="2688" w:type="dxa"/>
            <w:vMerge/>
            <w:shd w:val="clear" w:color="auto" w:fill="C5E0B3" w:themeFill="accent6" w:themeFillTint="66"/>
          </w:tcPr>
          <w:p w14:paraId="03FFE397" w14:textId="77777777" w:rsidR="00BA0070" w:rsidRDefault="00BA0070" w:rsidP="005C5CDF">
            <w:pPr>
              <w:jc w:val="both"/>
            </w:pPr>
          </w:p>
        </w:tc>
        <w:tc>
          <w:tcPr>
            <w:tcW w:w="5953" w:type="dxa"/>
          </w:tcPr>
          <w:p w14:paraId="0ACACC75" w14:textId="77777777" w:rsidR="00BA0070" w:rsidRDefault="00BA0070" w:rsidP="005C5CDF">
            <w:pPr>
              <w:jc w:val="both"/>
            </w:pPr>
            <w:r w:rsidRPr="002F224F">
              <w:t>Για τις οικοδομικές άδειες οι οποίες έχουν εκδ</w:t>
            </w:r>
            <w:r w:rsidRPr="002F224F">
              <w:t>ο</w:t>
            </w:r>
            <w:r w:rsidRPr="002F224F">
              <w:t>θεί πριν την έναρξη ισχύος του ν. 4030/2011, οι οποίες δεν έχουν ανακληθεί ή ακυρωθεί, εφα</w:t>
            </w:r>
            <w:r w:rsidRPr="002F224F">
              <w:t>ρ</w:t>
            </w:r>
            <w:r w:rsidRPr="002F224F">
              <w:t xml:space="preserve">μόζονται τα προβλεπόμενα στις διατάξεις του προηγούμενου εδαφίου της παρούσας μόνον για ακίνητα ή τμήματα αυτών που πληρούν τους </w:t>
            </w:r>
            <w:r w:rsidRPr="002F224F">
              <w:t>ό</w:t>
            </w:r>
            <w:r w:rsidRPr="002F224F">
              <w:t>ρους αρτιότητας σύμφωνα με το ισχύον καθεστώς κατά το χρόνο έκδοσης της σχετικής άδειας. Στις περιπτώσεις αυτές δεν απαιτείται η εκ νέου έ</w:t>
            </w:r>
            <w:r w:rsidRPr="002F224F">
              <w:t>κ</w:t>
            </w:r>
            <w:r w:rsidRPr="002F224F">
              <w:t>δοση βεβαίωσης της οικείας δασικής αρχής για την έκδοση έγκρισης δόμησης και άδειας δόμ</w:t>
            </w:r>
            <w:r w:rsidRPr="002F224F">
              <w:t>η</w:t>
            </w:r>
            <w:r w:rsidRPr="002F224F">
              <w:t>σης κατά τις διατάξεις του ν. 4030/2011".</w:t>
            </w:r>
          </w:p>
        </w:tc>
        <w:tc>
          <w:tcPr>
            <w:tcW w:w="5436" w:type="dxa"/>
          </w:tcPr>
          <w:p w14:paraId="2E86827C" w14:textId="6635E1AB" w:rsidR="00EF5B89" w:rsidRPr="00EF5B89" w:rsidRDefault="00EF5B89" w:rsidP="00EF5B89">
            <w:pPr>
              <w:jc w:val="both"/>
              <w:rPr>
                <w:b/>
                <w:bCs/>
              </w:rPr>
            </w:pPr>
            <w:r w:rsidRPr="00EF5B89">
              <w:rPr>
                <w:b/>
                <w:bCs/>
              </w:rPr>
              <w:t>γ. Το πέμπτο εδάφιο της παραγράφου 7 του άρθρου 3 του ν. 998/1979 (Α’ 289) αντικαθ</w:t>
            </w:r>
            <w:r w:rsidRPr="00EF5B89">
              <w:rPr>
                <w:b/>
                <w:bCs/>
              </w:rPr>
              <w:t>ί</w:t>
            </w:r>
            <w:r w:rsidRPr="00EF5B89">
              <w:rPr>
                <w:b/>
                <w:bCs/>
              </w:rPr>
              <w:t>σταται ως εξής:</w:t>
            </w:r>
          </w:p>
          <w:p w14:paraId="04435C80" w14:textId="77777777" w:rsidR="008A17B9" w:rsidRDefault="00EF5B89" w:rsidP="00EF5B89">
            <w:pPr>
              <w:jc w:val="both"/>
            </w:pPr>
            <w:r>
              <w:t>«Για τις οικοδομικές άδειες οι οποίες έχουν εκδοθεί πριν την έναρξη ισχύος του ν. 4030/2011 (Α’ 249), οι οποίες δεν έχουν αν</w:t>
            </w:r>
            <w:r>
              <w:t>α</w:t>
            </w:r>
            <w:r>
              <w:t>κληθεί ή ακυρωθεί, ακόμη κι εάν δεν έχουν υλοποιηθεί, εφαρμόζονται τα προβλεπόμενα στις διατάξεις του προηγούμενου εδαφίου της παρούσας μόνον για ακίνητα ή τμήματα αυτών που πληρούν τους όρους αρτιότητας σύμφωνα με το ισχύον καθεστώς κατά τον χρόνο έκδοσης της σχετικής άδειας».</w:t>
            </w:r>
          </w:p>
          <w:p w14:paraId="5AB727F9" w14:textId="678F6C87" w:rsidR="008A17B9" w:rsidRDefault="008A17B9" w:rsidP="00EF5B89">
            <w:pPr>
              <w:jc w:val="both"/>
            </w:pPr>
          </w:p>
        </w:tc>
        <w:tc>
          <w:tcPr>
            <w:tcW w:w="3510" w:type="dxa"/>
          </w:tcPr>
          <w:p w14:paraId="40F88A22" w14:textId="40DE42B8" w:rsidR="00EF5B89" w:rsidRPr="00EF5B89" w:rsidRDefault="00BA0070" w:rsidP="00EF5B89">
            <w:pPr>
              <w:jc w:val="both"/>
              <w:rPr>
                <w:b/>
                <w:bCs/>
              </w:rPr>
            </w:pPr>
            <w:r w:rsidRPr="00EF5B89">
              <w:rPr>
                <w:b/>
                <w:bCs/>
              </w:rPr>
              <w:t>Αρ.</w:t>
            </w:r>
            <w:r w:rsidR="008A17B9">
              <w:rPr>
                <w:b/>
                <w:bCs/>
              </w:rPr>
              <w:t xml:space="preserve"> </w:t>
            </w:r>
            <w:r w:rsidRPr="00EF5B89">
              <w:rPr>
                <w:b/>
                <w:bCs/>
              </w:rPr>
              <w:t xml:space="preserve">48 </w:t>
            </w:r>
            <w:r w:rsidR="00EF5B89" w:rsidRPr="00EF5B89">
              <w:rPr>
                <w:b/>
                <w:bCs/>
              </w:rPr>
              <w:t>παρ. 1 γ</w:t>
            </w:r>
          </w:p>
          <w:p w14:paraId="110FD309" w14:textId="77777777" w:rsidR="00EF5B89" w:rsidRDefault="00EF5B89" w:rsidP="00EF5B89">
            <w:pPr>
              <w:jc w:val="both"/>
            </w:pPr>
          </w:p>
          <w:p w14:paraId="784020A0" w14:textId="19D810F9" w:rsidR="00BA0070" w:rsidRPr="002F224F" w:rsidRDefault="00BA0070" w:rsidP="00EF5B89">
            <w:pPr>
              <w:jc w:val="both"/>
            </w:pPr>
            <w:r>
              <w:t xml:space="preserve">Στην περίπτωση αυτή θα </w:t>
            </w:r>
            <w:r w:rsidRPr="002F224F">
              <w:t>απα</w:t>
            </w:r>
            <w:r w:rsidRPr="002F224F">
              <w:t>ι</w:t>
            </w:r>
            <w:r w:rsidRPr="002F224F">
              <w:t>τείται η εκ νέου έκδοση βεβα</w:t>
            </w:r>
            <w:r w:rsidRPr="002F224F">
              <w:t>ί</w:t>
            </w:r>
            <w:r w:rsidRPr="002F224F">
              <w:t>ωσης της οικείας δασικής αρχής για την έκδοση έγκρισης δόμ</w:t>
            </w:r>
            <w:r w:rsidRPr="002F224F">
              <w:t>η</w:t>
            </w:r>
            <w:r w:rsidRPr="002F224F">
              <w:t xml:space="preserve">σης και άδειας δόμησης κατά τις </w:t>
            </w:r>
            <w:r>
              <w:t xml:space="preserve">ισχύουσες </w:t>
            </w:r>
            <w:r w:rsidRPr="002F224F">
              <w:t>διατάξεις</w:t>
            </w:r>
            <w:r>
              <w:t>.</w:t>
            </w:r>
          </w:p>
        </w:tc>
      </w:tr>
      <w:tr w:rsidR="00BA0070" w14:paraId="050F1ED0" w14:textId="77777777" w:rsidTr="0031001F">
        <w:trPr>
          <w:trHeight w:val="461"/>
          <w:jc w:val="center"/>
        </w:trPr>
        <w:tc>
          <w:tcPr>
            <w:tcW w:w="2688" w:type="dxa"/>
            <w:vMerge/>
            <w:shd w:val="clear" w:color="auto" w:fill="C5E0B3" w:themeFill="accent6" w:themeFillTint="66"/>
          </w:tcPr>
          <w:p w14:paraId="143635F1" w14:textId="77777777" w:rsidR="00BA0070" w:rsidRDefault="00BA0070" w:rsidP="005C5CDF">
            <w:pPr>
              <w:jc w:val="both"/>
            </w:pPr>
          </w:p>
        </w:tc>
        <w:tc>
          <w:tcPr>
            <w:tcW w:w="5953" w:type="dxa"/>
          </w:tcPr>
          <w:p w14:paraId="75F845FE" w14:textId="77777777" w:rsidR="00EF5B89" w:rsidRDefault="00EF5B89" w:rsidP="005C5CDF">
            <w:pPr>
              <w:jc w:val="both"/>
            </w:pPr>
          </w:p>
          <w:p w14:paraId="758F46CA" w14:textId="77777777" w:rsidR="00EF5B89" w:rsidRDefault="00EF5B89" w:rsidP="005C5CDF">
            <w:pPr>
              <w:jc w:val="both"/>
            </w:pPr>
          </w:p>
          <w:p w14:paraId="30881E61" w14:textId="77777777" w:rsidR="00EF5B89" w:rsidRDefault="00EF5B89" w:rsidP="005C5CDF">
            <w:pPr>
              <w:jc w:val="both"/>
            </w:pPr>
          </w:p>
          <w:p w14:paraId="7EC01818" w14:textId="28A8D966" w:rsidR="00BA0070" w:rsidRDefault="00BA0070" w:rsidP="005C5CDF">
            <w:pPr>
              <w:jc w:val="both"/>
            </w:pPr>
            <w:r w:rsidRPr="002F224F">
              <w:t>1. Οι δασικές εν γένει εκτάσεις των παραγράφων 1, 2, 3, 4 και 5 του άρθρου 3 του ν. 998/1979 (Α</w:t>
            </w:r>
            <w:r w:rsidR="008A17B9">
              <w:t>’</w:t>
            </w:r>
            <w:r w:rsidRPr="002F224F">
              <w:t xml:space="preserve"> 289), που διέπονται από τις προστατευτικές δι</w:t>
            </w:r>
            <w:r w:rsidRPr="002F224F">
              <w:t>α</w:t>
            </w:r>
            <w:r w:rsidRPr="002F224F">
              <w:t>τάξεις αυτού, απεικονίζονται σε κατάλληλης κλ</w:t>
            </w:r>
            <w:r w:rsidRPr="002F224F">
              <w:t>ί</w:t>
            </w:r>
            <w:r w:rsidRPr="002F224F">
              <w:t xml:space="preserve">μακας </w:t>
            </w:r>
            <w:proofErr w:type="spellStart"/>
            <w:r w:rsidRPr="002F224F">
              <w:t>αεροφωτογραφικό</w:t>
            </w:r>
            <w:proofErr w:type="spellEnd"/>
            <w:r w:rsidRPr="002F224F">
              <w:t xml:space="preserve"> ή χαρτογραφικό υλικό, το οποίο, αφού συμπληρωθεί με τα </w:t>
            </w:r>
            <w:proofErr w:type="spellStart"/>
            <w:r w:rsidRPr="002F224F">
              <w:t>φωτοερμ</w:t>
            </w:r>
            <w:r w:rsidRPr="002F224F">
              <w:t>η</w:t>
            </w:r>
            <w:r w:rsidRPr="002F224F">
              <w:t>νευτικά</w:t>
            </w:r>
            <w:proofErr w:type="spellEnd"/>
            <w:r w:rsidRPr="002F224F">
              <w:t xml:space="preserve"> στοιχεία των πρόσφατων και ιστορικών αεροφωτογραφιών, τις διοικητικές πράξεις και τα διαθέσιμα στοιχεία της δασικής υπηρεσίας, απ</w:t>
            </w:r>
            <w:r w:rsidRPr="002F224F">
              <w:t>ο</w:t>
            </w:r>
            <w:r w:rsidRPr="002F224F">
              <w:t>τελεί τον δασικό χάρτη.</w:t>
            </w:r>
          </w:p>
        </w:tc>
        <w:tc>
          <w:tcPr>
            <w:tcW w:w="5436" w:type="dxa"/>
          </w:tcPr>
          <w:p w14:paraId="6D0D6431" w14:textId="6485F121" w:rsidR="00EF5B89" w:rsidRPr="00EF5B89" w:rsidRDefault="00EF5B89" w:rsidP="00EF5B89">
            <w:pPr>
              <w:jc w:val="both"/>
              <w:rPr>
                <w:b/>
                <w:bCs/>
              </w:rPr>
            </w:pPr>
            <w:r w:rsidRPr="00EF5B89">
              <w:rPr>
                <w:b/>
                <w:bCs/>
              </w:rPr>
              <w:t>2. Το πρώτο εδάφιο της παραγράφου 1 του άρθρου 13 του ν. 3889/2010 (Α’ 182) αντικ</w:t>
            </w:r>
            <w:r w:rsidRPr="00EF5B89">
              <w:rPr>
                <w:b/>
                <w:bCs/>
              </w:rPr>
              <w:t>α</w:t>
            </w:r>
            <w:r w:rsidRPr="00EF5B89">
              <w:rPr>
                <w:b/>
                <w:bCs/>
              </w:rPr>
              <w:t>θίσταται ως εξής:</w:t>
            </w:r>
          </w:p>
          <w:p w14:paraId="5A1FDC49" w14:textId="77777777" w:rsidR="00BA0070" w:rsidRDefault="00EF5B89" w:rsidP="00EF5B89">
            <w:pPr>
              <w:jc w:val="both"/>
            </w:pPr>
            <w:r>
              <w:t>«1. Οι δασικές εν γένει εκτάσεις των παρ</w:t>
            </w:r>
            <w:r>
              <w:t>α</w:t>
            </w:r>
            <w:r>
              <w:t>γράφων 1, 2, 3, 4 και 5 του άρθρου 3 του ν. 998/1979 (Α’ 289), που διέπονται από τις προστατευτικές διατάξεις αυτού, απεικονίζ</w:t>
            </w:r>
            <w:r>
              <w:t>ο</w:t>
            </w:r>
            <w:r>
              <w:t xml:space="preserve">νται σε κατάλληλης κλίμακας </w:t>
            </w:r>
            <w:proofErr w:type="spellStart"/>
            <w:r>
              <w:t>αεροφωτογρ</w:t>
            </w:r>
            <w:r>
              <w:t>α</w:t>
            </w:r>
            <w:r>
              <w:t>φικό</w:t>
            </w:r>
            <w:proofErr w:type="spellEnd"/>
            <w:r>
              <w:t xml:space="preserve"> ή χαρτογραφικό υλικό, το οποίο, αφού συμπληρωθεί με τα </w:t>
            </w:r>
            <w:proofErr w:type="spellStart"/>
            <w:r>
              <w:t>φωτοερμηνευτικά</w:t>
            </w:r>
            <w:proofErr w:type="spellEnd"/>
            <w:r>
              <w:t xml:space="preserve"> στο</w:t>
            </w:r>
            <w:r>
              <w:t>ι</w:t>
            </w:r>
            <w:r>
              <w:t>χεία των πρόσφατων και ιστορικών αεροφ</w:t>
            </w:r>
            <w:r>
              <w:t>ω</w:t>
            </w:r>
            <w:r>
              <w:t>τογραφιών, τις διοικητικές πράξεις της περ</w:t>
            </w:r>
            <w:r>
              <w:t>ί</w:t>
            </w:r>
            <w:r>
              <w:t>πτωσης ζ’ της παραγράφου 6 και της παρ</w:t>
            </w:r>
            <w:r>
              <w:t>α</w:t>
            </w:r>
            <w:r>
              <w:t>γράφου 7 του άρθρου 3 του ν. 998/1979 (Α’ 289) ή άλλες πράξεις που οδηγούν σε νόμιμη μεταβολή του δασικού χαρακτήρα εκτάσεων, καθώς και τα λοιπά διαθέσιμα στοιχεία της δασικής υπηρεσίας, αποτελεί τον δασικό χά</w:t>
            </w:r>
            <w:r>
              <w:t>ρ</w:t>
            </w:r>
            <w:r>
              <w:t>τη.»</w:t>
            </w:r>
          </w:p>
          <w:p w14:paraId="22726097" w14:textId="50D2BEC9" w:rsidR="00EF5B89" w:rsidRDefault="00EF5B89" w:rsidP="008A17B9">
            <w:pPr>
              <w:jc w:val="both"/>
            </w:pPr>
          </w:p>
        </w:tc>
        <w:tc>
          <w:tcPr>
            <w:tcW w:w="3510" w:type="dxa"/>
          </w:tcPr>
          <w:p w14:paraId="18F04E09" w14:textId="230CBBBA" w:rsidR="00BA0070" w:rsidRPr="00EF5B89" w:rsidRDefault="00BA0070" w:rsidP="005C5CDF">
            <w:pPr>
              <w:jc w:val="both"/>
              <w:rPr>
                <w:b/>
                <w:bCs/>
              </w:rPr>
            </w:pPr>
            <w:r w:rsidRPr="00EF5B89">
              <w:rPr>
                <w:b/>
                <w:bCs/>
              </w:rPr>
              <w:t>Αρ.</w:t>
            </w:r>
            <w:r w:rsidR="008A17B9">
              <w:rPr>
                <w:b/>
                <w:bCs/>
              </w:rPr>
              <w:t xml:space="preserve"> </w:t>
            </w:r>
            <w:r w:rsidRPr="00EF5B89">
              <w:rPr>
                <w:b/>
                <w:bCs/>
              </w:rPr>
              <w:t xml:space="preserve">48 </w:t>
            </w:r>
            <w:r w:rsidR="00EF5B89" w:rsidRPr="00EF5B89">
              <w:rPr>
                <w:b/>
                <w:bCs/>
              </w:rPr>
              <w:t xml:space="preserve">παρ. 2 </w:t>
            </w:r>
          </w:p>
          <w:p w14:paraId="42E9DD5B" w14:textId="77777777" w:rsidR="00EF5B89" w:rsidRDefault="00EF5B89" w:rsidP="005C5CDF">
            <w:pPr>
              <w:jc w:val="both"/>
            </w:pPr>
          </w:p>
          <w:p w14:paraId="55EE6631" w14:textId="4E844221" w:rsidR="00BA0070" w:rsidRDefault="00BA0070" w:rsidP="005C5CDF">
            <w:pPr>
              <w:jc w:val="both"/>
            </w:pPr>
            <w:r>
              <w:t xml:space="preserve">Διευρύνονται τα στοιχεία που λαμβάνει υπόψη του ο ΔΧ. </w:t>
            </w:r>
          </w:p>
          <w:p w14:paraId="35D3451C" w14:textId="77777777" w:rsidR="00BA0070" w:rsidRDefault="00BA0070" w:rsidP="005C5CDF">
            <w:pPr>
              <w:jc w:val="both"/>
            </w:pPr>
            <w:r>
              <w:t xml:space="preserve">Θετικό ότι περιλαμβάνονται σε αυτά και οι </w:t>
            </w:r>
            <w:r w:rsidRPr="007A2BB1">
              <w:t>πράξεις που οδ</w:t>
            </w:r>
            <w:r w:rsidRPr="007A2BB1">
              <w:t>η</w:t>
            </w:r>
            <w:r w:rsidRPr="007A2BB1">
              <w:t>γούν σε νόμιμη μεταβολή του δασικού χαρακτήρα εκτάσεων</w:t>
            </w:r>
            <w:r>
              <w:t>.</w:t>
            </w:r>
          </w:p>
        </w:tc>
      </w:tr>
      <w:tr w:rsidR="00BA0070" w14:paraId="1B9A98B5" w14:textId="77777777" w:rsidTr="0031001F">
        <w:trPr>
          <w:trHeight w:val="421"/>
          <w:jc w:val="center"/>
        </w:trPr>
        <w:tc>
          <w:tcPr>
            <w:tcW w:w="2688" w:type="dxa"/>
            <w:vMerge w:val="restart"/>
            <w:shd w:val="clear" w:color="auto" w:fill="538135" w:themeFill="accent6" w:themeFillShade="BF"/>
            <w:textDirection w:val="btLr"/>
          </w:tcPr>
          <w:p w14:paraId="301DCAA9" w14:textId="77777777" w:rsidR="00BA0070" w:rsidRPr="00EF5B89" w:rsidRDefault="00BA0070" w:rsidP="00BA0070">
            <w:pPr>
              <w:ind w:left="113" w:right="113"/>
              <w:jc w:val="center"/>
              <w:rPr>
                <w:sz w:val="40"/>
                <w:szCs w:val="40"/>
              </w:rPr>
            </w:pPr>
          </w:p>
          <w:p w14:paraId="1AC3A987" w14:textId="35BA37AC" w:rsidR="00BA0070" w:rsidRPr="00BA0070" w:rsidRDefault="00BA0070" w:rsidP="00B903CB">
            <w:pPr>
              <w:ind w:left="113" w:right="113"/>
              <w:jc w:val="center"/>
              <w:rPr>
                <w:sz w:val="52"/>
                <w:szCs w:val="52"/>
              </w:rPr>
            </w:pPr>
            <w:r w:rsidRPr="00EF5B89">
              <w:rPr>
                <w:sz w:val="40"/>
                <w:szCs w:val="40"/>
              </w:rPr>
              <w:t>ΤΡΟΠΟΠΟΙ</w:t>
            </w:r>
            <w:r w:rsidRPr="00EF5B89">
              <w:rPr>
                <w:sz w:val="40"/>
                <w:szCs w:val="40"/>
              </w:rPr>
              <w:t>Η</w:t>
            </w:r>
            <w:r w:rsidRPr="00EF5B89">
              <w:rPr>
                <w:sz w:val="40"/>
                <w:szCs w:val="40"/>
              </w:rPr>
              <w:t>ΣΗ ΔΙΑΔΙΚΑΣ</w:t>
            </w:r>
            <w:r w:rsidRPr="00EF5B89">
              <w:rPr>
                <w:sz w:val="40"/>
                <w:szCs w:val="40"/>
              </w:rPr>
              <w:t>Ι</w:t>
            </w:r>
            <w:r w:rsidRPr="00EF5B89">
              <w:rPr>
                <w:sz w:val="40"/>
                <w:szCs w:val="40"/>
              </w:rPr>
              <w:t>ΑΣ ΑΝΑΡΤ</w:t>
            </w:r>
            <w:r w:rsidRPr="00EF5B89">
              <w:rPr>
                <w:sz w:val="40"/>
                <w:szCs w:val="40"/>
              </w:rPr>
              <w:t>Η</w:t>
            </w:r>
            <w:r w:rsidRPr="00EF5B89">
              <w:rPr>
                <w:sz w:val="40"/>
                <w:szCs w:val="40"/>
              </w:rPr>
              <w:t>ΣΗΣ, ΚΥΡΩΣΗΣ ΚΑΙ ΑΝ</w:t>
            </w:r>
            <w:r w:rsidRPr="00EF5B89">
              <w:rPr>
                <w:sz w:val="40"/>
                <w:szCs w:val="40"/>
              </w:rPr>
              <w:t>Α</w:t>
            </w:r>
            <w:r w:rsidRPr="00EF5B89">
              <w:rPr>
                <w:sz w:val="40"/>
                <w:szCs w:val="40"/>
              </w:rPr>
              <w:t>ΜΟΡΦΩΣΗΣ ΤΩΝ ΔΑΣΙΚΩΝ</w:t>
            </w:r>
            <w:r w:rsidRPr="00BA0070">
              <w:rPr>
                <w:sz w:val="52"/>
                <w:szCs w:val="52"/>
              </w:rPr>
              <w:t xml:space="preserve"> </w:t>
            </w:r>
            <w:r w:rsidRPr="00EF5B89">
              <w:rPr>
                <w:sz w:val="40"/>
                <w:szCs w:val="40"/>
              </w:rPr>
              <w:t>ΧΑΡΤΩΝ</w:t>
            </w:r>
          </w:p>
        </w:tc>
        <w:tc>
          <w:tcPr>
            <w:tcW w:w="5953" w:type="dxa"/>
          </w:tcPr>
          <w:p w14:paraId="4F96E5A3" w14:textId="77777777" w:rsidR="00EF5B89" w:rsidRDefault="00EF5B89" w:rsidP="005C5CDF">
            <w:pPr>
              <w:jc w:val="both"/>
            </w:pPr>
          </w:p>
          <w:p w14:paraId="3FEAE00B" w14:textId="77777777" w:rsidR="00EF5B89" w:rsidRDefault="00EF5B89" w:rsidP="005C5CDF">
            <w:pPr>
              <w:jc w:val="both"/>
            </w:pPr>
          </w:p>
          <w:p w14:paraId="5F4B6401" w14:textId="6AF479A0" w:rsidR="00BA0070" w:rsidRDefault="00BA0070" w:rsidP="005C5CDF">
            <w:pPr>
              <w:jc w:val="both"/>
            </w:pPr>
            <w:r w:rsidRPr="007A2BB1">
              <w:t>4. Με τις αντιρρήσεις προβάλλονται λόγοι που αφορούν αποκλειστικά και μόνο την αμφισβήτ</w:t>
            </w:r>
            <w:r w:rsidRPr="007A2BB1">
              <w:t>η</w:t>
            </w:r>
            <w:r w:rsidRPr="007A2BB1">
              <w:t>ση του χαρακτήρα ή της μορφής των εμφανιζόμ</w:t>
            </w:r>
            <w:r w:rsidRPr="007A2BB1">
              <w:t>ε</w:t>
            </w:r>
            <w:r w:rsidRPr="007A2BB1">
              <w:t>νων στον δασικό χάρτη εκτάσεων.</w:t>
            </w:r>
          </w:p>
        </w:tc>
        <w:tc>
          <w:tcPr>
            <w:tcW w:w="5436" w:type="dxa"/>
          </w:tcPr>
          <w:p w14:paraId="6A48618A" w14:textId="006F6DCB" w:rsidR="00BA0070" w:rsidRPr="00EF5B89" w:rsidRDefault="00BA0070" w:rsidP="007A2BB1">
            <w:pPr>
              <w:jc w:val="both"/>
              <w:rPr>
                <w:b/>
                <w:bCs/>
              </w:rPr>
            </w:pPr>
            <w:r w:rsidRPr="00EF5B89">
              <w:rPr>
                <w:b/>
                <w:bCs/>
              </w:rPr>
              <w:t>3.</w:t>
            </w:r>
            <w:r w:rsidR="00EF5B89" w:rsidRPr="00EF5B89">
              <w:rPr>
                <w:b/>
                <w:bCs/>
              </w:rPr>
              <w:t xml:space="preserve"> </w:t>
            </w:r>
            <w:r w:rsidRPr="00EF5B89">
              <w:rPr>
                <w:b/>
                <w:bCs/>
              </w:rPr>
              <w:t>Η παρ. 4 του άρθρου 15 του ν. 3889/2010 (Α΄ 182) αντικαθίσταται ως εξής:</w:t>
            </w:r>
          </w:p>
          <w:p w14:paraId="27404BBB" w14:textId="77777777" w:rsidR="00BA0070" w:rsidRDefault="00BA0070" w:rsidP="007A2BB1">
            <w:pPr>
              <w:jc w:val="both"/>
            </w:pPr>
            <w:r>
              <w:t>«4. Με τις αντιρρήσεις προβάλλονται λόγοι που αφορούν αποκλειστικά και μόνο στην αμφισβήτηση του χαρακτήρα ή της μορφής των εμφανιζόμενων στο δασικό χάρτη εκτ</w:t>
            </w:r>
            <w:r>
              <w:t>ά</w:t>
            </w:r>
            <w:r>
              <w:t>σεων, της ορθής απεικόνισης, εφαρμογής και ισχύος των πράξεων της Διοίκησης και της σύννομης αλλαγής χρήσης αυτών.»</w:t>
            </w:r>
          </w:p>
          <w:p w14:paraId="75D2C98A" w14:textId="77777777" w:rsidR="008A17B9" w:rsidRDefault="008A17B9" w:rsidP="007A2BB1">
            <w:pPr>
              <w:jc w:val="both"/>
            </w:pPr>
          </w:p>
        </w:tc>
        <w:tc>
          <w:tcPr>
            <w:tcW w:w="3510" w:type="dxa"/>
          </w:tcPr>
          <w:p w14:paraId="328AAE3E" w14:textId="3A8A9634" w:rsidR="00BA0070" w:rsidRDefault="00BA0070" w:rsidP="007A2BB1">
            <w:pPr>
              <w:jc w:val="both"/>
              <w:rPr>
                <w:b/>
                <w:bCs/>
              </w:rPr>
            </w:pPr>
            <w:r w:rsidRPr="00EF5B89">
              <w:rPr>
                <w:b/>
                <w:bCs/>
              </w:rPr>
              <w:t>Αρ.</w:t>
            </w:r>
            <w:r w:rsidR="008A17B9">
              <w:rPr>
                <w:b/>
                <w:bCs/>
              </w:rPr>
              <w:t xml:space="preserve"> </w:t>
            </w:r>
            <w:r w:rsidRPr="00EF5B89">
              <w:rPr>
                <w:b/>
                <w:bCs/>
              </w:rPr>
              <w:t xml:space="preserve">48 </w:t>
            </w:r>
            <w:r w:rsidR="00EF5B89" w:rsidRPr="00EF5B89">
              <w:rPr>
                <w:b/>
                <w:bCs/>
              </w:rPr>
              <w:t>παρ. 3</w:t>
            </w:r>
          </w:p>
          <w:p w14:paraId="0448F2C7" w14:textId="77777777" w:rsidR="00EF5B89" w:rsidRPr="00EF5B89" w:rsidRDefault="00EF5B89" w:rsidP="007A2BB1">
            <w:pPr>
              <w:jc w:val="both"/>
              <w:rPr>
                <w:b/>
                <w:bCs/>
              </w:rPr>
            </w:pPr>
          </w:p>
          <w:p w14:paraId="0D4B44C9" w14:textId="77777777" w:rsidR="00BA0070" w:rsidRDefault="00BA0070" w:rsidP="007A2BB1">
            <w:pPr>
              <w:jc w:val="both"/>
            </w:pPr>
            <w:r>
              <w:t xml:space="preserve">Διευρύνονται οι λόγοι των </w:t>
            </w:r>
            <w:r>
              <w:t>α</w:t>
            </w:r>
            <w:r>
              <w:t>ντιρρήσεων κατά του ΔΧ, με αποτέλεσμα να καλύπτονται τα ζητήματα της μορφής της έκτ</w:t>
            </w:r>
            <w:r>
              <w:t>α</w:t>
            </w:r>
            <w:r>
              <w:t>σης και κυρίως της ορθής απε</w:t>
            </w:r>
            <w:r>
              <w:t>ι</w:t>
            </w:r>
            <w:r>
              <w:t>κόνισης και της εφαρμογής των διοικητικών πράξεων.</w:t>
            </w:r>
          </w:p>
        </w:tc>
      </w:tr>
      <w:tr w:rsidR="00BA0070" w14:paraId="5FC58036" w14:textId="77777777" w:rsidTr="0031001F">
        <w:trPr>
          <w:trHeight w:val="421"/>
          <w:jc w:val="center"/>
        </w:trPr>
        <w:tc>
          <w:tcPr>
            <w:tcW w:w="2688" w:type="dxa"/>
            <w:vMerge/>
            <w:shd w:val="clear" w:color="auto" w:fill="538135" w:themeFill="accent6" w:themeFillShade="BF"/>
          </w:tcPr>
          <w:p w14:paraId="14E10863" w14:textId="77777777" w:rsidR="00BA0070" w:rsidRDefault="00BA0070" w:rsidP="005C5CDF">
            <w:pPr>
              <w:jc w:val="both"/>
            </w:pPr>
          </w:p>
        </w:tc>
        <w:tc>
          <w:tcPr>
            <w:tcW w:w="5953" w:type="dxa"/>
          </w:tcPr>
          <w:p w14:paraId="5EE5B00E" w14:textId="77777777" w:rsidR="00EF5B89" w:rsidRDefault="00EF5B89" w:rsidP="00E93211">
            <w:pPr>
              <w:jc w:val="both"/>
            </w:pPr>
          </w:p>
          <w:p w14:paraId="180B6D06" w14:textId="3C396C25" w:rsidR="00BA0070" w:rsidRDefault="00BA0070" w:rsidP="00E93211">
            <w:pPr>
              <w:jc w:val="both"/>
            </w:pPr>
            <w:r>
              <w:t>1. Μετά τη μερική ή ολική κύρωση του δασικού χάρτη, δεν επιτρέπεται αναμόρφωσή του, με την επιφύλαξη των διατάξεων της παραγράφου 5 ά</w:t>
            </w:r>
            <w:r>
              <w:t>ρ</w:t>
            </w:r>
            <w:r>
              <w:t>θρου 19 του παρόντος.</w:t>
            </w:r>
          </w:p>
          <w:p w14:paraId="0962355B" w14:textId="77777777" w:rsidR="00BA0070" w:rsidRPr="007A2BB1" w:rsidRDefault="00BA0070" w:rsidP="00E93211">
            <w:pPr>
              <w:jc w:val="both"/>
            </w:pPr>
            <w:r>
              <w:t>Κατ` εξαίρεση, επιτρέπεται η αναμόρφωση του κυρωμένου δασικού χάρτη με την προσθήκη ή διαγραφή των εκτάσεων που θα υπαχθούν ή θα πάψουν να υπάγονται στο δασικό νόμο, σύμφ</w:t>
            </w:r>
            <w:r>
              <w:t>ω</w:t>
            </w:r>
            <w:r>
              <w:t>να με πράξεις των αρμοδίων οργάνων, που εκδ</w:t>
            </w:r>
            <w:r>
              <w:t>ί</w:t>
            </w:r>
            <w:r>
              <w:t>δονται κατ` εφαρμογή της δασικής νομοθεσίας ή με δικαστικές αποφάσεις που κρίνουν επί των πράξεων αυτών, καθώς και με δικαστικές αποφ</w:t>
            </w:r>
            <w:r>
              <w:t>ά</w:t>
            </w:r>
            <w:r>
              <w:t>σεις επί τού ιδιοκτησιακού ζητήματος των εκτ</w:t>
            </w:r>
            <w:r>
              <w:t>ά</w:t>
            </w:r>
            <w:r>
              <w:t>σεων των περιπτώσεων 5α` και 5β` του άρθρου 3 του ν. 998/1979 όπως ισχύει, είτε με διοικητικές πράξεις που έπρεπε να συμπεριληφθούν στο δ</w:t>
            </w:r>
            <w:r>
              <w:t>α</w:t>
            </w:r>
            <w:r>
              <w:t>σικό χάρτη ή εσφαλμένα αποτυπώθηκαν κατά την κατάρτισή του και δεν απεικονίζονται σε αυτόν.</w:t>
            </w:r>
          </w:p>
        </w:tc>
        <w:tc>
          <w:tcPr>
            <w:tcW w:w="5436" w:type="dxa"/>
          </w:tcPr>
          <w:p w14:paraId="2BA60FC6" w14:textId="5E596E2B" w:rsidR="00EF5B89" w:rsidRPr="00EF5B89" w:rsidRDefault="00EF5B89" w:rsidP="00EF5B89">
            <w:pPr>
              <w:jc w:val="both"/>
              <w:rPr>
                <w:b/>
                <w:bCs/>
              </w:rPr>
            </w:pPr>
            <w:r w:rsidRPr="00EF5B89">
              <w:rPr>
                <w:b/>
                <w:bCs/>
              </w:rPr>
              <w:t>7. Το πρώτο και δεύτερο εδάφιο της παρ</w:t>
            </w:r>
            <w:r w:rsidRPr="00EF5B89">
              <w:rPr>
                <w:b/>
                <w:bCs/>
              </w:rPr>
              <w:t>α</w:t>
            </w:r>
            <w:r w:rsidRPr="00EF5B89">
              <w:rPr>
                <w:b/>
                <w:bCs/>
              </w:rPr>
              <w:t>γράφου 1 του άρθρου 20 του ν. 3889/2010 αντικαθίστανται ως εξής:</w:t>
            </w:r>
          </w:p>
          <w:p w14:paraId="70A8D965" w14:textId="77777777" w:rsidR="00BA0070" w:rsidRDefault="00EF5B89" w:rsidP="00EF5B89">
            <w:pPr>
              <w:jc w:val="both"/>
            </w:pPr>
            <w:r>
              <w:t>«1. Μετά τη μερική ή ολική κύρωση του δασ</w:t>
            </w:r>
            <w:r>
              <w:t>ι</w:t>
            </w:r>
            <w:r>
              <w:t>κού χάρτη η αναμόρφωσή του επιτρέπεται μόνο σύμφωνα με τις διατάξεις των παρ</w:t>
            </w:r>
            <w:r>
              <w:t>α</w:t>
            </w:r>
            <w:r>
              <w:t>γράφων 8 και 8.α. του άρθρου 17 και της π</w:t>
            </w:r>
            <w:r>
              <w:t>α</w:t>
            </w:r>
            <w:r>
              <w:t>ραγράφου 5 του άρθρου 19 του παρόντος, καθώς και του επομένου εδαφίου. Οι κυρ</w:t>
            </w:r>
            <w:r>
              <w:t>ω</w:t>
            </w:r>
            <w:r>
              <w:t>μένοι δασικοί χάρτες αναμορφώνονται με την προσθήκη ή διαγραφή των εκτάσεων που θα υπαχθούν ή θα πάψουν να υπάγονται στον δασικό νόμο, σύμφωνα με πράξεις των αρμ</w:t>
            </w:r>
            <w:r>
              <w:t>ο</w:t>
            </w:r>
            <w:r>
              <w:t>δίων οργάνων, που εκδίδονται κατ’ εφαρμογή της δασικής νομοθεσίας ή με δικαστικές απ</w:t>
            </w:r>
            <w:r>
              <w:t>ο</w:t>
            </w:r>
            <w:r>
              <w:t>φάσεις που κρίνουν επί των πράξεων αυτών, καθώς και με δικαστικές αποφάσεις επί τού ιδιοκτησιακού ζητήματος των εκτάσεων των περιπτώσεων 5α’ και 5β’ του άρθρου 3 του ν. 998/1979 (Α’ 289) όπως ισχύει, είτε με διοικ</w:t>
            </w:r>
            <w:r>
              <w:t>η</w:t>
            </w:r>
            <w:r>
              <w:t>τικές πράξεις της περίπτωσης ζ’ της παρ</w:t>
            </w:r>
            <w:r>
              <w:t>α</w:t>
            </w:r>
            <w:r>
              <w:t>γράφου 6 και της παραγράφου 7 του άρθρου 3 του ν. 998/1979 (Α’ 289) που έπρεπε να σ</w:t>
            </w:r>
            <w:r>
              <w:t>υ</w:t>
            </w:r>
            <w:r>
              <w:t xml:space="preserve">μπεριληφθούν στον δασικό χάρτη και δεν </w:t>
            </w:r>
            <w:r>
              <w:t>α</w:t>
            </w:r>
            <w:r>
              <w:t>πεικονίζονται σε αυτόν ή εσφαλμένα αποτ</w:t>
            </w:r>
            <w:r>
              <w:t>υ</w:t>
            </w:r>
            <w:r>
              <w:t>πώθηκαν κατά την κατάρτισή του».</w:t>
            </w:r>
          </w:p>
          <w:p w14:paraId="18A8F280" w14:textId="77777777" w:rsidR="008A17B9" w:rsidRDefault="008A17B9" w:rsidP="00EF5B89">
            <w:pPr>
              <w:jc w:val="both"/>
            </w:pPr>
          </w:p>
          <w:p w14:paraId="246BE740" w14:textId="77777777" w:rsidR="008A17B9" w:rsidRDefault="008A17B9" w:rsidP="00EF5B89">
            <w:pPr>
              <w:jc w:val="both"/>
            </w:pPr>
          </w:p>
          <w:p w14:paraId="5A93586B" w14:textId="77777777" w:rsidR="008A17B9" w:rsidRDefault="008A17B9" w:rsidP="00EF5B89">
            <w:pPr>
              <w:jc w:val="both"/>
            </w:pPr>
          </w:p>
          <w:p w14:paraId="53DEC02E" w14:textId="34F4B974" w:rsidR="008A17B9" w:rsidRDefault="008A17B9" w:rsidP="00EF5B89">
            <w:pPr>
              <w:jc w:val="both"/>
            </w:pPr>
          </w:p>
        </w:tc>
        <w:tc>
          <w:tcPr>
            <w:tcW w:w="3510" w:type="dxa"/>
          </w:tcPr>
          <w:p w14:paraId="237F8B24" w14:textId="71B1153D" w:rsidR="00BA0070" w:rsidRPr="00EF5B89" w:rsidRDefault="00BA0070" w:rsidP="007A2BB1">
            <w:pPr>
              <w:jc w:val="both"/>
              <w:rPr>
                <w:b/>
                <w:bCs/>
              </w:rPr>
            </w:pPr>
            <w:r w:rsidRPr="00EF5B89">
              <w:rPr>
                <w:b/>
                <w:bCs/>
              </w:rPr>
              <w:t>Αρ.</w:t>
            </w:r>
            <w:r w:rsidR="008A17B9">
              <w:rPr>
                <w:b/>
                <w:bCs/>
              </w:rPr>
              <w:t xml:space="preserve"> </w:t>
            </w:r>
            <w:r w:rsidRPr="00EF5B89">
              <w:rPr>
                <w:b/>
                <w:bCs/>
              </w:rPr>
              <w:t xml:space="preserve">48 </w:t>
            </w:r>
            <w:r w:rsidR="00EF5B89" w:rsidRPr="00EF5B89">
              <w:rPr>
                <w:b/>
                <w:bCs/>
              </w:rPr>
              <w:t xml:space="preserve">παρ. </w:t>
            </w:r>
            <w:r w:rsidR="00EF5B89">
              <w:rPr>
                <w:b/>
                <w:bCs/>
              </w:rPr>
              <w:t>7</w:t>
            </w:r>
          </w:p>
          <w:p w14:paraId="64250E2E" w14:textId="77777777" w:rsidR="00B903CB" w:rsidRDefault="00B903CB" w:rsidP="007A2BB1">
            <w:pPr>
              <w:jc w:val="both"/>
            </w:pPr>
          </w:p>
          <w:p w14:paraId="6F09A32A" w14:textId="43F68A51" w:rsidR="00BA0070" w:rsidRDefault="00BA0070" w:rsidP="007A2BB1">
            <w:pPr>
              <w:jc w:val="both"/>
            </w:pPr>
            <w:r>
              <w:t>Ολοκληρωμένη διατύπωση της αναμόρφωσης του ΔΧ.</w:t>
            </w:r>
          </w:p>
        </w:tc>
      </w:tr>
      <w:tr w:rsidR="00BA0070" w14:paraId="2A310D6C" w14:textId="77777777" w:rsidTr="0031001F">
        <w:trPr>
          <w:trHeight w:val="421"/>
          <w:jc w:val="center"/>
        </w:trPr>
        <w:tc>
          <w:tcPr>
            <w:tcW w:w="2688" w:type="dxa"/>
            <w:vMerge/>
            <w:shd w:val="clear" w:color="auto" w:fill="538135" w:themeFill="accent6" w:themeFillShade="BF"/>
          </w:tcPr>
          <w:p w14:paraId="36D47E7F" w14:textId="77777777" w:rsidR="00BA0070" w:rsidRDefault="00BA0070" w:rsidP="005C5CDF">
            <w:pPr>
              <w:jc w:val="both"/>
            </w:pPr>
          </w:p>
        </w:tc>
        <w:tc>
          <w:tcPr>
            <w:tcW w:w="5953" w:type="dxa"/>
          </w:tcPr>
          <w:p w14:paraId="110590AD" w14:textId="77777777" w:rsidR="00BA0070" w:rsidRPr="008A17B9" w:rsidRDefault="00BA0070" w:rsidP="00E93211">
            <w:pPr>
              <w:jc w:val="both"/>
              <w:rPr>
                <w:sz w:val="21"/>
                <w:szCs w:val="21"/>
              </w:rPr>
            </w:pPr>
            <w:r w:rsidRPr="008A17B9">
              <w:rPr>
                <w:sz w:val="21"/>
                <w:szCs w:val="21"/>
              </w:rPr>
              <w:t>4. «Μετά την κύρωση του δασικού χάρτη κάθε μ</w:t>
            </w:r>
            <w:r w:rsidRPr="008A17B9">
              <w:rPr>
                <w:sz w:val="21"/>
                <w:szCs w:val="21"/>
              </w:rPr>
              <w:t>ε</w:t>
            </w:r>
            <w:r w:rsidRPr="008A17B9">
              <w:rPr>
                <w:sz w:val="21"/>
                <w:szCs w:val="21"/>
              </w:rPr>
              <w:t>ταβίβαση, σύσταση, αλλοίωση και γενικά κάθε μ</w:t>
            </w:r>
            <w:r w:rsidRPr="008A17B9">
              <w:rPr>
                <w:sz w:val="21"/>
                <w:szCs w:val="21"/>
              </w:rPr>
              <w:t>ε</w:t>
            </w:r>
            <w:r w:rsidRPr="008A17B9">
              <w:rPr>
                <w:sz w:val="21"/>
                <w:szCs w:val="21"/>
              </w:rPr>
              <w:t>ταβολή των εμπραγμάτων δικαιωμάτων, στις δασ</w:t>
            </w:r>
            <w:r w:rsidRPr="008A17B9">
              <w:rPr>
                <w:sz w:val="21"/>
                <w:szCs w:val="21"/>
              </w:rPr>
              <w:t>ι</w:t>
            </w:r>
            <w:r w:rsidRPr="008A17B9">
              <w:rPr>
                <w:sz w:val="21"/>
                <w:szCs w:val="21"/>
              </w:rPr>
              <w:t>κές εν γένει εκτάσεις της παραγράφου 1 του άρθρου 13, που περιλαμβάνονται σε αυτόν, είναι άκυρη και ανίσχυρη, αν δεν συνοδεύεται από σχετικό πιστ</w:t>
            </w:r>
            <w:r w:rsidRPr="008A17B9">
              <w:rPr>
                <w:sz w:val="21"/>
                <w:szCs w:val="21"/>
              </w:rPr>
              <w:t>ο</w:t>
            </w:r>
            <w:r w:rsidRPr="008A17B9">
              <w:rPr>
                <w:sz w:val="21"/>
                <w:szCs w:val="21"/>
              </w:rPr>
              <w:t>ποιητικό της αρμόδιας υπηρεσίας της οικείας Διε</w:t>
            </w:r>
            <w:r w:rsidRPr="008A17B9">
              <w:rPr>
                <w:sz w:val="21"/>
                <w:szCs w:val="21"/>
              </w:rPr>
              <w:t>ύ</w:t>
            </w:r>
            <w:r w:rsidRPr="008A17B9">
              <w:rPr>
                <w:sz w:val="21"/>
                <w:szCs w:val="21"/>
              </w:rPr>
              <w:t>θυνσης Δασών, με το οποίο βεβαιώνεται ο χαρ</w:t>
            </w:r>
            <w:r w:rsidRPr="008A17B9">
              <w:rPr>
                <w:sz w:val="21"/>
                <w:szCs w:val="21"/>
              </w:rPr>
              <w:t>α</w:t>
            </w:r>
            <w:r w:rsidRPr="008A17B9">
              <w:rPr>
                <w:sz w:val="21"/>
                <w:szCs w:val="21"/>
              </w:rPr>
              <w:t>κτήρας της έκτασης. Το ανωτέρω πιστοποιητικό δεν εκδίδεται για περιοχές του δασικού χάρτη που δεν περιλαμβάνονται στις δασικές εν γένει εκτάσεις.».</w:t>
            </w:r>
          </w:p>
          <w:p w14:paraId="1D8BFBB7" w14:textId="77777777" w:rsidR="00BA0070" w:rsidRPr="008A17B9" w:rsidRDefault="00BA0070" w:rsidP="00E93211">
            <w:pPr>
              <w:jc w:val="both"/>
              <w:rPr>
                <w:sz w:val="21"/>
                <w:szCs w:val="21"/>
              </w:rPr>
            </w:pPr>
            <w:r w:rsidRPr="008A17B9">
              <w:rPr>
                <w:sz w:val="21"/>
                <w:szCs w:val="21"/>
              </w:rPr>
              <w:t>Για τη χορήγηση του πιστοποιητικού καταβάλλεται ειδικό τέλος υπέρ του εκδότη του πιστοποιητικού, του οποίου το ύψος, ο τρόπος καταβολής και ε</w:t>
            </w:r>
            <w:r w:rsidRPr="008A17B9">
              <w:rPr>
                <w:sz w:val="21"/>
                <w:szCs w:val="21"/>
              </w:rPr>
              <w:t>ί</w:t>
            </w:r>
            <w:r w:rsidRPr="008A17B9">
              <w:rPr>
                <w:sz w:val="21"/>
                <w:szCs w:val="21"/>
              </w:rPr>
              <w:t>σπραξης και η διάθεση καθορίζεται σύμφωνα με την παράγραφο 1 του άρθρου 22 του παρόντος.</w:t>
            </w:r>
          </w:p>
          <w:p w14:paraId="1E445E2B" w14:textId="77777777" w:rsidR="00BA0070" w:rsidRPr="008A17B9" w:rsidRDefault="00BA0070" w:rsidP="00E93211">
            <w:pPr>
              <w:jc w:val="both"/>
              <w:rPr>
                <w:sz w:val="21"/>
                <w:szCs w:val="21"/>
              </w:rPr>
            </w:pPr>
            <w:r w:rsidRPr="008A17B9">
              <w:rPr>
                <w:sz w:val="21"/>
                <w:szCs w:val="21"/>
              </w:rPr>
              <w:t>5. Στις πράξεις που συντάσσουν οι συμβολαιογρ</w:t>
            </w:r>
            <w:r w:rsidRPr="008A17B9">
              <w:rPr>
                <w:sz w:val="21"/>
                <w:szCs w:val="21"/>
              </w:rPr>
              <w:t>ά</w:t>
            </w:r>
            <w:r w:rsidRPr="008A17B9">
              <w:rPr>
                <w:sz w:val="21"/>
                <w:szCs w:val="21"/>
              </w:rPr>
              <w:t xml:space="preserve">φοι, που αφορούν στις δασικές εν γένει εκτάσεις που περιλαμβάνονται στον κυρωμένο δασικό χάρτη, υποχρεούνται να επισυνάπτουν τα πιστοποιητικά </w:t>
            </w:r>
            <w:proofErr w:type="spellStart"/>
            <w:r w:rsidRPr="008A17B9">
              <w:rPr>
                <w:sz w:val="21"/>
                <w:szCs w:val="21"/>
              </w:rPr>
              <w:t>τής</w:t>
            </w:r>
            <w:proofErr w:type="spellEnd"/>
            <w:r w:rsidRPr="008A17B9">
              <w:rPr>
                <w:sz w:val="21"/>
                <w:szCs w:val="21"/>
              </w:rPr>
              <w:t xml:space="preserve"> προηγουμένης παραγράφου και να μνημονε</w:t>
            </w:r>
            <w:r w:rsidRPr="008A17B9">
              <w:rPr>
                <w:sz w:val="21"/>
                <w:szCs w:val="21"/>
              </w:rPr>
              <w:t>ύ</w:t>
            </w:r>
            <w:r w:rsidRPr="008A17B9">
              <w:rPr>
                <w:sz w:val="21"/>
                <w:szCs w:val="21"/>
              </w:rPr>
              <w:t>ουν το περιεχόμενό τους.</w:t>
            </w:r>
          </w:p>
          <w:p w14:paraId="3FDD646C" w14:textId="6B17E654" w:rsidR="00BA0070" w:rsidRPr="008A17B9" w:rsidRDefault="00BA0070" w:rsidP="00E93211">
            <w:pPr>
              <w:jc w:val="both"/>
              <w:rPr>
                <w:sz w:val="21"/>
                <w:szCs w:val="21"/>
              </w:rPr>
            </w:pPr>
            <w:r w:rsidRPr="008A17B9">
              <w:rPr>
                <w:sz w:val="21"/>
                <w:szCs w:val="21"/>
              </w:rPr>
              <w:t>«Για περιοχές  που στο δασικό χάρτη δεν αποτελούν δασικές εν γένει εκτάσεις της παραγράφου 1 του άρθρου 13, το πιστοποιητικό της προηγούμενης παραγράφου αντικαθίσταται από υπεύθυνη δήλ</w:t>
            </w:r>
            <w:r w:rsidRPr="008A17B9">
              <w:rPr>
                <w:sz w:val="21"/>
                <w:szCs w:val="21"/>
              </w:rPr>
              <w:t>ω</w:t>
            </w:r>
            <w:r w:rsidRPr="008A17B9">
              <w:rPr>
                <w:sz w:val="21"/>
                <w:szCs w:val="21"/>
              </w:rPr>
              <w:t>ση του άρθρου 8 του ν. 1599/1986 (A</w:t>
            </w:r>
            <w:r w:rsidR="008A17B9" w:rsidRPr="008A17B9">
              <w:rPr>
                <w:sz w:val="21"/>
                <w:szCs w:val="21"/>
              </w:rPr>
              <w:t xml:space="preserve">’ </w:t>
            </w:r>
            <w:r w:rsidRPr="008A17B9">
              <w:rPr>
                <w:sz w:val="21"/>
                <w:szCs w:val="21"/>
              </w:rPr>
              <w:t xml:space="preserve">75) επί του τοπογραφικού διαγράμματος, που συνοδεύει τη σχετική πράξη του συμβολαιογράφου, με την οποία δηλώνεται υπευθύνως από τον συντάκτη του ότι το συγκεκριμένο ακίνητο δεν εμπίπτει στις δασικές εν γένει εκτάσεις. Η συγκεκριμένη υπεύθυνη δήλωση </w:t>
            </w:r>
            <w:r w:rsidRPr="008A17B9">
              <w:rPr>
                <w:sz w:val="21"/>
                <w:szCs w:val="21"/>
              </w:rPr>
              <w:lastRenderedPageBreak/>
              <w:t>πρέπει να μνημονεύεται στις πράξεις που συντά</w:t>
            </w:r>
            <w:r w:rsidRPr="008A17B9">
              <w:rPr>
                <w:sz w:val="21"/>
                <w:szCs w:val="21"/>
              </w:rPr>
              <w:t>σ</w:t>
            </w:r>
            <w:r w:rsidRPr="008A17B9">
              <w:rPr>
                <w:sz w:val="21"/>
                <w:szCs w:val="21"/>
              </w:rPr>
              <w:t>σονται από τους συμβολαιογράφους.</w:t>
            </w:r>
          </w:p>
          <w:p w14:paraId="2B62640B" w14:textId="77777777" w:rsidR="00BA0070" w:rsidRPr="007A2BB1" w:rsidRDefault="00BA0070" w:rsidP="00E93211">
            <w:pPr>
              <w:jc w:val="both"/>
            </w:pPr>
            <w:r w:rsidRPr="008A17B9">
              <w:rPr>
                <w:sz w:val="21"/>
                <w:szCs w:val="21"/>
              </w:rPr>
              <w:t>Δεν επιτρέπεται η εγγραφή ή η μετεγγραφή των πράξεων αυτών στα οικεία υποθηκοφυλακεία και κτηματολογικά γραφεία, αν δεν έχουν τηρηθεί οι υποχρεώσεις των ανωτέρω παραγράφων.».</w:t>
            </w:r>
          </w:p>
        </w:tc>
        <w:tc>
          <w:tcPr>
            <w:tcW w:w="5436" w:type="dxa"/>
          </w:tcPr>
          <w:p w14:paraId="7069D6C1" w14:textId="2685320C" w:rsidR="00B903CB" w:rsidRPr="00F269ED" w:rsidRDefault="00B903CB" w:rsidP="00B903CB">
            <w:pPr>
              <w:jc w:val="both"/>
              <w:rPr>
                <w:b/>
                <w:bCs/>
              </w:rPr>
            </w:pPr>
            <w:r w:rsidRPr="00F269ED">
              <w:rPr>
                <w:b/>
                <w:bCs/>
              </w:rPr>
              <w:lastRenderedPageBreak/>
              <w:t>8. α. Μεταξύ του δεύτερου και του τρίτου εδαφίου της παραγράφου 4 του άρθρου 20 του ν. 3889/2010 παρεμβάλλεται εδάφιο ως εξής:</w:t>
            </w:r>
          </w:p>
          <w:p w14:paraId="64881F9F" w14:textId="5CDFA8E6" w:rsidR="00BA0070" w:rsidRPr="00F269ED" w:rsidRDefault="00B903CB" w:rsidP="00B903CB">
            <w:pPr>
              <w:jc w:val="both"/>
              <w:rPr>
                <w:b/>
                <w:bCs/>
              </w:rPr>
            </w:pPr>
            <w:r w:rsidRPr="00F269ED">
              <w:rPr>
                <w:b/>
                <w:bCs/>
              </w:rPr>
              <w:t>«Ειδικά για εκτάσεις που έχουν περιληφθεί στην ανάρτηση, για τις οποίες έχουν γίνει δεκτές αντιρρήσεις των ενδιαφερομένων, αντί για το ανωτέρω πιστοποιητικό στο σχ</w:t>
            </w:r>
            <w:r w:rsidRPr="00F269ED">
              <w:rPr>
                <w:b/>
                <w:bCs/>
              </w:rPr>
              <w:t>ε</w:t>
            </w:r>
            <w:r w:rsidRPr="00F269ED">
              <w:rPr>
                <w:b/>
                <w:bCs/>
              </w:rPr>
              <w:t>τικό συμβόλαιο προσαρτάται αντίγραφο της απόφασης αυτής με τον αριθμό διαδικτυ</w:t>
            </w:r>
            <w:r w:rsidRPr="00F269ED">
              <w:rPr>
                <w:b/>
                <w:bCs/>
              </w:rPr>
              <w:t>α</w:t>
            </w:r>
            <w:r w:rsidRPr="00F269ED">
              <w:rPr>
                <w:b/>
                <w:bCs/>
              </w:rPr>
              <w:t>κής ανάρτησης (Α.Δ.Α.) και με επισυναπτ</w:t>
            </w:r>
            <w:r w:rsidRPr="00F269ED">
              <w:rPr>
                <w:b/>
                <w:bCs/>
              </w:rPr>
              <w:t>ό</w:t>
            </w:r>
            <w:r w:rsidRPr="00F269ED">
              <w:rPr>
                <w:b/>
                <w:bCs/>
              </w:rPr>
              <w:t>μενο τοπογραφικό διάγραμμα εξαρτημένων συντεταγμένων Ε.Γ.Σ.Α., επί του οποίου ο συντάκτης βεβαιώνει ότι το ακίνητο είναι αυτό, ως προς το οποίο έχουν γίνει δεκτές οι υποβληθείσες αντιρρήσεις».</w:t>
            </w:r>
          </w:p>
        </w:tc>
        <w:tc>
          <w:tcPr>
            <w:tcW w:w="3510" w:type="dxa"/>
          </w:tcPr>
          <w:p w14:paraId="553207FA" w14:textId="77777777" w:rsidR="00BA0070" w:rsidRPr="00DF5531" w:rsidRDefault="00BA0070" w:rsidP="00DF5531">
            <w:pPr>
              <w:jc w:val="center"/>
              <w:rPr>
                <w:b/>
                <w:bCs/>
              </w:rPr>
            </w:pPr>
            <w:r w:rsidRPr="00DF5531">
              <w:rPr>
                <w:b/>
                <w:bCs/>
              </w:rPr>
              <w:t>ΑΜΕΣΟΥ ΣΥΜΒΟΛΑΙΟΓΡΑΦ</w:t>
            </w:r>
            <w:r w:rsidRPr="00DF5531">
              <w:rPr>
                <w:b/>
                <w:bCs/>
              </w:rPr>
              <w:t>Ι</w:t>
            </w:r>
            <w:r w:rsidRPr="00DF5531">
              <w:rPr>
                <w:b/>
                <w:bCs/>
              </w:rPr>
              <w:t>ΚΟΥ ΕΝΔΙΑΦΕΡΟΝΤΟΣ</w:t>
            </w:r>
          </w:p>
          <w:p w14:paraId="7B68ED44" w14:textId="77777777" w:rsidR="00BA0070" w:rsidRDefault="00BA0070" w:rsidP="007A2BB1">
            <w:pPr>
              <w:jc w:val="both"/>
            </w:pPr>
          </w:p>
          <w:p w14:paraId="036335AE" w14:textId="3D256D38" w:rsidR="00BA0070" w:rsidRDefault="00BA0070" w:rsidP="008B0CF6">
            <w:pPr>
              <w:jc w:val="center"/>
              <w:rPr>
                <w:b/>
                <w:bCs/>
              </w:rPr>
            </w:pPr>
            <w:r w:rsidRPr="00F269ED">
              <w:rPr>
                <w:b/>
                <w:bCs/>
              </w:rPr>
              <w:t>Αρ.</w:t>
            </w:r>
            <w:r w:rsidR="008A17B9">
              <w:rPr>
                <w:b/>
                <w:bCs/>
              </w:rPr>
              <w:t xml:space="preserve"> </w:t>
            </w:r>
            <w:r w:rsidRPr="00F269ED">
              <w:rPr>
                <w:b/>
                <w:bCs/>
              </w:rPr>
              <w:t xml:space="preserve">48 </w:t>
            </w:r>
            <w:r w:rsidR="00F269ED" w:rsidRPr="00F269ED">
              <w:rPr>
                <w:b/>
                <w:bCs/>
              </w:rPr>
              <w:t>παρ. 8</w:t>
            </w:r>
            <w:r w:rsidR="008B0CF6">
              <w:rPr>
                <w:b/>
                <w:bCs/>
              </w:rPr>
              <w:t xml:space="preserve"> α</w:t>
            </w:r>
          </w:p>
          <w:p w14:paraId="68C69705" w14:textId="77777777" w:rsidR="00F269ED" w:rsidRPr="00F269ED" w:rsidRDefault="00F269ED" w:rsidP="007A2BB1">
            <w:pPr>
              <w:jc w:val="both"/>
              <w:rPr>
                <w:b/>
                <w:bCs/>
              </w:rPr>
            </w:pPr>
          </w:p>
          <w:p w14:paraId="100EFDF3" w14:textId="77777777" w:rsidR="00BA0070" w:rsidRDefault="00BA0070" w:rsidP="00DF5531">
            <w:pPr>
              <w:jc w:val="both"/>
            </w:pPr>
            <w:r>
              <w:t>Επιτρέπεται η μεταβίβαση ακ</w:t>
            </w:r>
            <w:r>
              <w:t>ι</w:t>
            </w:r>
            <w:r>
              <w:t>νήτων, όταν έχει εκδοθεί απ</w:t>
            </w:r>
            <w:r>
              <w:t>ό</w:t>
            </w:r>
            <w:r>
              <w:t>φαση της ΕΠΕΑ που τα κρίνει ως μη δασικά, αλλά δεν έχει κυρ</w:t>
            </w:r>
            <w:r>
              <w:t>ω</w:t>
            </w:r>
            <w:r>
              <w:t>θεί ο ΔΧ ως προς το ακίνητο α</w:t>
            </w:r>
            <w:r>
              <w:t>υ</w:t>
            </w:r>
            <w:r>
              <w:t>τό. Με τον τρόπο αυτό απλ</w:t>
            </w:r>
            <w:r>
              <w:t>ο</w:t>
            </w:r>
            <w:r>
              <w:t>ποιείται η διαδικασία για μετ</w:t>
            </w:r>
            <w:r>
              <w:t>α</w:t>
            </w:r>
            <w:r>
              <w:t>βίβαση ακινήτων που δεν περ</w:t>
            </w:r>
            <w:r>
              <w:t>ι</w:t>
            </w:r>
            <w:r>
              <w:t>λαμβάνονται σε δασικούς χά</w:t>
            </w:r>
            <w:r>
              <w:t>ρ</w:t>
            </w:r>
            <w:r>
              <w:t>τες αλλά έχει εκδοθεί απόφαση της ΕΠΕΑ που τα κρίνει ως μη δασικά.</w:t>
            </w:r>
          </w:p>
        </w:tc>
      </w:tr>
      <w:tr w:rsidR="00BA0070" w14:paraId="2F864F3A" w14:textId="77777777" w:rsidTr="0031001F">
        <w:trPr>
          <w:trHeight w:val="421"/>
          <w:jc w:val="center"/>
        </w:trPr>
        <w:tc>
          <w:tcPr>
            <w:tcW w:w="2688" w:type="dxa"/>
            <w:vMerge/>
            <w:shd w:val="clear" w:color="auto" w:fill="538135" w:themeFill="accent6" w:themeFillShade="BF"/>
          </w:tcPr>
          <w:p w14:paraId="36DCC047" w14:textId="77777777" w:rsidR="00BA0070" w:rsidRDefault="00BA0070" w:rsidP="005C5CDF">
            <w:pPr>
              <w:jc w:val="both"/>
            </w:pPr>
          </w:p>
        </w:tc>
        <w:tc>
          <w:tcPr>
            <w:tcW w:w="5953" w:type="dxa"/>
          </w:tcPr>
          <w:p w14:paraId="1459A61E" w14:textId="77777777" w:rsidR="00BA0070" w:rsidRDefault="00BA0070" w:rsidP="005C5CDF">
            <w:pPr>
              <w:jc w:val="both"/>
            </w:pPr>
            <w:r w:rsidRPr="00DF5531">
              <w:t>«Για περιοχές  που στο δασικό χάρτη δεν αποτ</w:t>
            </w:r>
            <w:r w:rsidRPr="00DF5531">
              <w:t>ε</w:t>
            </w:r>
            <w:r w:rsidRPr="00DF5531">
              <w:t>λούν δασικές εν γένει εκτάσεις της παραγράφου 1 του άρθρου 13, το πιστοποιητικό της προηγούμ</w:t>
            </w:r>
            <w:r w:rsidRPr="00DF5531">
              <w:t>ε</w:t>
            </w:r>
            <w:r w:rsidRPr="00DF5531">
              <w:t>νης παραγράφου αντικαθίσταται από υπεύθυνη δήλωση του άρθρου 8 του ν. 1599/1986 (A` 75) επί του τοπογραφικού διαγράμματος, που συν</w:t>
            </w:r>
            <w:r w:rsidRPr="00DF5531">
              <w:t>ο</w:t>
            </w:r>
            <w:r w:rsidRPr="00DF5531">
              <w:t>δεύει τη σχετική πράξη του συμβολαιογράφου, με την οποία δηλώνεται υπευθύνως από τον συντ</w:t>
            </w:r>
            <w:r w:rsidRPr="00DF5531">
              <w:t>ά</w:t>
            </w:r>
            <w:r w:rsidRPr="00DF5531">
              <w:t>κτη του ότι το συγκεκριμένο ακίνητο δεν εμπίπτει στις δασικές εν γένει εκτάσεις.</w:t>
            </w:r>
          </w:p>
          <w:p w14:paraId="4E468565" w14:textId="77777777" w:rsidR="008A17B9" w:rsidRDefault="008A17B9" w:rsidP="005C5CDF">
            <w:pPr>
              <w:jc w:val="both"/>
            </w:pPr>
          </w:p>
          <w:p w14:paraId="02784BE3" w14:textId="77777777" w:rsidR="008A17B9" w:rsidRDefault="008A17B9" w:rsidP="005C5CDF">
            <w:pPr>
              <w:jc w:val="both"/>
            </w:pPr>
          </w:p>
          <w:p w14:paraId="5C03EEEC" w14:textId="77777777" w:rsidR="008A17B9" w:rsidRDefault="008A17B9" w:rsidP="005C5CDF">
            <w:pPr>
              <w:jc w:val="both"/>
            </w:pPr>
          </w:p>
          <w:p w14:paraId="1DF1BB11" w14:textId="77777777" w:rsidR="008A17B9" w:rsidRDefault="008A17B9" w:rsidP="005C5CDF">
            <w:pPr>
              <w:jc w:val="both"/>
            </w:pPr>
          </w:p>
          <w:p w14:paraId="5DA231CC" w14:textId="77777777" w:rsidR="008A17B9" w:rsidRDefault="008A17B9" w:rsidP="005C5CDF">
            <w:pPr>
              <w:jc w:val="both"/>
            </w:pPr>
          </w:p>
          <w:p w14:paraId="325D48E9" w14:textId="77777777" w:rsidR="008A17B9" w:rsidRDefault="008A17B9" w:rsidP="005C5CDF">
            <w:pPr>
              <w:jc w:val="both"/>
            </w:pPr>
          </w:p>
          <w:p w14:paraId="3FC2D867" w14:textId="77777777" w:rsidR="008A17B9" w:rsidRDefault="008A17B9" w:rsidP="005C5CDF">
            <w:pPr>
              <w:jc w:val="both"/>
            </w:pPr>
          </w:p>
          <w:p w14:paraId="30F4C561" w14:textId="77777777" w:rsidR="008A17B9" w:rsidRDefault="008A17B9" w:rsidP="005C5CDF">
            <w:pPr>
              <w:jc w:val="both"/>
            </w:pPr>
          </w:p>
          <w:p w14:paraId="3944EB89" w14:textId="77777777" w:rsidR="008A17B9" w:rsidRDefault="008A17B9" w:rsidP="005C5CDF">
            <w:pPr>
              <w:jc w:val="both"/>
            </w:pPr>
          </w:p>
          <w:p w14:paraId="240CC3AF" w14:textId="77777777" w:rsidR="008A17B9" w:rsidRDefault="008A17B9" w:rsidP="005C5CDF">
            <w:pPr>
              <w:jc w:val="both"/>
            </w:pPr>
          </w:p>
          <w:p w14:paraId="18BBCD0B" w14:textId="77777777" w:rsidR="008A17B9" w:rsidRDefault="008A17B9" w:rsidP="005C5CDF">
            <w:pPr>
              <w:jc w:val="both"/>
            </w:pPr>
          </w:p>
          <w:p w14:paraId="77B5E8DF" w14:textId="77777777" w:rsidR="008A17B9" w:rsidRDefault="008A17B9" w:rsidP="005C5CDF">
            <w:pPr>
              <w:jc w:val="both"/>
            </w:pPr>
          </w:p>
          <w:p w14:paraId="18B3B6F7" w14:textId="77777777" w:rsidR="008A17B9" w:rsidRDefault="008A17B9" w:rsidP="005C5CDF">
            <w:pPr>
              <w:jc w:val="both"/>
            </w:pPr>
          </w:p>
          <w:p w14:paraId="4DC927AD" w14:textId="77777777" w:rsidR="008A17B9" w:rsidRPr="007A2BB1" w:rsidRDefault="008A17B9" w:rsidP="005C5CDF">
            <w:pPr>
              <w:jc w:val="both"/>
            </w:pPr>
          </w:p>
        </w:tc>
        <w:tc>
          <w:tcPr>
            <w:tcW w:w="5436" w:type="dxa"/>
          </w:tcPr>
          <w:p w14:paraId="18541CB3" w14:textId="6A179E5E" w:rsidR="00F54047" w:rsidRPr="00F54047" w:rsidRDefault="00F54047" w:rsidP="00F54047">
            <w:pPr>
              <w:jc w:val="both"/>
              <w:rPr>
                <w:b/>
                <w:bCs/>
              </w:rPr>
            </w:pPr>
            <w:r w:rsidRPr="00F54047">
              <w:rPr>
                <w:b/>
                <w:bCs/>
              </w:rPr>
              <w:t>β. Το δεύτερο εδάφιο της παραγράφου 5 του άρθρου</w:t>
            </w:r>
            <w:r>
              <w:rPr>
                <w:b/>
                <w:bCs/>
              </w:rPr>
              <w:t xml:space="preserve"> </w:t>
            </w:r>
            <w:r w:rsidRPr="00F54047">
              <w:rPr>
                <w:b/>
                <w:bCs/>
              </w:rPr>
              <w:t>20 του ν. 3889/2010 αντικαθίσταται ως εξής:</w:t>
            </w:r>
          </w:p>
          <w:p w14:paraId="4B33914A" w14:textId="0ADC24DC" w:rsidR="00BA0070" w:rsidRDefault="00F54047" w:rsidP="00F54047">
            <w:pPr>
              <w:jc w:val="both"/>
              <w:rPr>
                <w:b/>
                <w:bCs/>
              </w:rPr>
            </w:pPr>
            <w:r w:rsidRPr="00F54047">
              <w:t>«Για περιοχές που δεν περιλαμβάνονται στον δασικό χάρτη επειδή δεν αποτελούν δασικές εν γένει εκτάσεις της παραγράφου 1 του ά</w:t>
            </w:r>
            <w:r w:rsidRPr="00F54047">
              <w:t>ρ</w:t>
            </w:r>
            <w:r w:rsidRPr="00F54047">
              <w:t>θρου 13, το πιστοποιητικό της προηγούμενης παραγράφου αντικαθίσταται από υπεύθυνη δήλωση του άρθρου 8 του ν. 1599/1986 (A’ 75) επί του τοπογραφικού διαγράμματος, που συνοδεύει τη σχετική πράξη του συμβολαι</w:t>
            </w:r>
            <w:r w:rsidRPr="00F54047">
              <w:t>ο</w:t>
            </w:r>
            <w:r w:rsidRPr="00F54047">
              <w:t>γράφου</w:t>
            </w:r>
            <w:r w:rsidRPr="00F54047">
              <w:rPr>
                <w:b/>
                <w:bCs/>
              </w:rPr>
              <w:t xml:space="preserve"> ή, αν δεν υφίσταται</w:t>
            </w:r>
            <w:r>
              <w:rPr>
                <w:b/>
                <w:bCs/>
              </w:rPr>
              <w:t xml:space="preserve"> </w:t>
            </w:r>
            <w:r w:rsidRPr="00F54047">
              <w:rPr>
                <w:b/>
                <w:bCs/>
              </w:rPr>
              <w:t>υποχρέωση ε</w:t>
            </w:r>
            <w:r w:rsidRPr="00F54047">
              <w:rPr>
                <w:b/>
                <w:bCs/>
              </w:rPr>
              <w:t>κ</w:t>
            </w:r>
            <w:r w:rsidRPr="00F54047">
              <w:rPr>
                <w:b/>
                <w:bCs/>
              </w:rPr>
              <w:t>πόνησης τοπογραφικού διαγράμματος,</w:t>
            </w:r>
            <w:r>
              <w:rPr>
                <w:b/>
                <w:bCs/>
              </w:rPr>
              <w:t xml:space="preserve"> </w:t>
            </w:r>
            <w:r w:rsidRPr="00F54047">
              <w:rPr>
                <w:b/>
                <w:bCs/>
              </w:rPr>
              <w:t xml:space="preserve">επί αποσπάσματος του δασικού χάρτη όπου </w:t>
            </w:r>
            <w:r w:rsidRPr="00F54047">
              <w:rPr>
                <w:b/>
                <w:bCs/>
              </w:rPr>
              <w:t>α</w:t>
            </w:r>
            <w:r w:rsidRPr="00F54047">
              <w:rPr>
                <w:b/>
                <w:bCs/>
              </w:rPr>
              <w:t>πεικονίζεται το ακίνητο στο οποίο αφορά η συμβολαιογραφική</w:t>
            </w:r>
            <w:r>
              <w:rPr>
                <w:b/>
                <w:bCs/>
              </w:rPr>
              <w:t xml:space="preserve"> </w:t>
            </w:r>
            <w:r w:rsidRPr="00F54047">
              <w:rPr>
                <w:b/>
                <w:bCs/>
              </w:rPr>
              <w:t>πράξη και όπου εμφα</w:t>
            </w:r>
            <w:r w:rsidRPr="00F54047">
              <w:rPr>
                <w:b/>
                <w:bCs/>
              </w:rPr>
              <w:t>ί</w:t>
            </w:r>
            <w:r w:rsidRPr="00F54047">
              <w:rPr>
                <w:b/>
                <w:bCs/>
              </w:rPr>
              <w:t>νονται οι συντεταγμένες των κορυφών του ακινήτου, με την οποία δηλώνεται υπευθ</w:t>
            </w:r>
            <w:r w:rsidRPr="00F54047">
              <w:rPr>
                <w:b/>
                <w:bCs/>
              </w:rPr>
              <w:t>ύ</w:t>
            </w:r>
            <w:r w:rsidRPr="00F54047">
              <w:rPr>
                <w:b/>
                <w:bCs/>
              </w:rPr>
              <w:t>νως από τον συντάκτη του ότι το συγκεκρ</w:t>
            </w:r>
            <w:r w:rsidRPr="00F54047">
              <w:rPr>
                <w:b/>
                <w:bCs/>
              </w:rPr>
              <w:t>ι</w:t>
            </w:r>
            <w:r w:rsidRPr="00F54047">
              <w:rPr>
                <w:b/>
                <w:bCs/>
              </w:rPr>
              <w:t>μένο ακίνητο</w:t>
            </w:r>
            <w:r>
              <w:rPr>
                <w:b/>
                <w:bCs/>
              </w:rPr>
              <w:t xml:space="preserve"> </w:t>
            </w:r>
            <w:r w:rsidRPr="00F54047">
              <w:rPr>
                <w:b/>
                <w:bCs/>
              </w:rPr>
              <w:t>δεν εμπίπτει στις προστατευτ</w:t>
            </w:r>
            <w:r w:rsidRPr="00F54047">
              <w:rPr>
                <w:b/>
                <w:bCs/>
              </w:rPr>
              <w:t>ι</w:t>
            </w:r>
            <w:r w:rsidRPr="00F54047">
              <w:rPr>
                <w:b/>
                <w:bCs/>
              </w:rPr>
              <w:t>κές διατάξεις της δασικής</w:t>
            </w:r>
            <w:r>
              <w:rPr>
                <w:b/>
                <w:bCs/>
              </w:rPr>
              <w:t xml:space="preserve"> </w:t>
            </w:r>
            <w:r w:rsidRPr="00F54047">
              <w:rPr>
                <w:b/>
                <w:bCs/>
              </w:rPr>
              <w:t>νομοθεσίας»</w:t>
            </w:r>
            <w:r w:rsidR="004E63DC">
              <w:rPr>
                <w:b/>
                <w:bCs/>
              </w:rPr>
              <w:t>.</w:t>
            </w:r>
          </w:p>
          <w:p w14:paraId="6A9D591A" w14:textId="7B34F494" w:rsidR="008A17B9" w:rsidRDefault="008A17B9" w:rsidP="00F54047">
            <w:pPr>
              <w:jc w:val="both"/>
            </w:pPr>
          </w:p>
        </w:tc>
        <w:tc>
          <w:tcPr>
            <w:tcW w:w="3510" w:type="dxa"/>
          </w:tcPr>
          <w:p w14:paraId="3170345B" w14:textId="77777777" w:rsidR="00BA0070" w:rsidRPr="00DF5531" w:rsidRDefault="00BA0070" w:rsidP="00DF5531">
            <w:pPr>
              <w:jc w:val="center"/>
              <w:rPr>
                <w:b/>
                <w:bCs/>
              </w:rPr>
            </w:pPr>
            <w:r w:rsidRPr="00DF5531">
              <w:rPr>
                <w:b/>
                <w:bCs/>
              </w:rPr>
              <w:t>ΑΜΕΣΟΥ ΣΥΜΒΟΛΑΙΟΓΡΑΦ</w:t>
            </w:r>
            <w:r w:rsidRPr="00DF5531">
              <w:rPr>
                <w:b/>
                <w:bCs/>
              </w:rPr>
              <w:t>Ι</w:t>
            </w:r>
            <w:r w:rsidRPr="00DF5531">
              <w:rPr>
                <w:b/>
                <w:bCs/>
              </w:rPr>
              <w:t>ΚΟΥ ΕΝΔΙΑΦΕΡΟΝΤΟΣ</w:t>
            </w:r>
          </w:p>
          <w:p w14:paraId="38954ED7" w14:textId="77777777" w:rsidR="00BA0070" w:rsidRDefault="00BA0070" w:rsidP="00DF5531">
            <w:pPr>
              <w:jc w:val="both"/>
            </w:pPr>
          </w:p>
          <w:p w14:paraId="52FE6865" w14:textId="0FD817E1" w:rsidR="00BA0070" w:rsidRDefault="00BA0070" w:rsidP="008B0CF6">
            <w:pPr>
              <w:jc w:val="center"/>
              <w:rPr>
                <w:b/>
                <w:bCs/>
              </w:rPr>
            </w:pPr>
            <w:r w:rsidRPr="00F269ED">
              <w:rPr>
                <w:b/>
                <w:bCs/>
              </w:rPr>
              <w:t>Αρ.</w:t>
            </w:r>
            <w:r w:rsidR="008A17B9">
              <w:rPr>
                <w:b/>
                <w:bCs/>
              </w:rPr>
              <w:t xml:space="preserve"> </w:t>
            </w:r>
            <w:r w:rsidRPr="00F269ED">
              <w:rPr>
                <w:b/>
                <w:bCs/>
              </w:rPr>
              <w:t xml:space="preserve">48 </w:t>
            </w:r>
            <w:r w:rsidR="008B0CF6">
              <w:rPr>
                <w:b/>
                <w:bCs/>
              </w:rPr>
              <w:t>παρ. 8 β</w:t>
            </w:r>
          </w:p>
          <w:p w14:paraId="18AFB8F3" w14:textId="77777777" w:rsidR="00F269ED" w:rsidRPr="00F269ED" w:rsidRDefault="00F269ED" w:rsidP="00DF5531">
            <w:pPr>
              <w:jc w:val="both"/>
              <w:rPr>
                <w:b/>
                <w:bCs/>
              </w:rPr>
            </w:pPr>
          </w:p>
          <w:p w14:paraId="04F7BFD0" w14:textId="77777777" w:rsidR="00BA0070" w:rsidRDefault="00BA0070" w:rsidP="007A2BB1">
            <w:pPr>
              <w:jc w:val="both"/>
            </w:pPr>
            <w:r>
              <w:t>Κλείνει η «τρύπα» των αποδ</w:t>
            </w:r>
            <w:r>
              <w:t>ο</w:t>
            </w:r>
            <w:r>
              <w:t xml:space="preserve">χών κληρονομίας, για τις οποίες δεν απαιτείται </w:t>
            </w:r>
            <w:r w:rsidRPr="00DF5531">
              <w:t>υποχρέωση ε</w:t>
            </w:r>
            <w:r w:rsidRPr="00DF5531">
              <w:t>κ</w:t>
            </w:r>
            <w:r w:rsidRPr="00DF5531">
              <w:t>πόνησης τοπογραφικού δι</w:t>
            </w:r>
            <w:r w:rsidRPr="00DF5531">
              <w:t>α</w:t>
            </w:r>
            <w:r w:rsidRPr="00DF5531">
              <w:t>γράμματος</w:t>
            </w:r>
            <w:r>
              <w:t>.</w:t>
            </w:r>
          </w:p>
        </w:tc>
      </w:tr>
      <w:tr w:rsidR="00B839F9" w14:paraId="048AB923" w14:textId="77777777" w:rsidTr="0031001F">
        <w:trPr>
          <w:trHeight w:val="421"/>
          <w:jc w:val="center"/>
        </w:trPr>
        <w:tc>
          <w:tcPr>
            <w:tcW w:w="2688" w:type="dxa"/>
            <w:shd w:val="clear" w:color="auto" w:fill="CA08BC"/>
          </w:tcPr>
          <w:p w14:paraId="4E9A348B" w14:textId="77777777" w:rsidR="00BA0070" w:rsidRPr="00BA0070" w:rsidRDefault="00BA0070" w:rsidP="005C5CDF">
            <w:pPr>
              <w:jc w:val="both"/>
              <w:rPr>
                <w:b/>
                <w:bCs/>
                <w:sz w:val="36"/>
                <w:szCs w:val="36"/>
              </w:rPr>
            </w:pPr>
          </w:p>
          <w:p w14:paraId="0CDE957C" w14:textId="77777777" w:rsidR="00163B9F" w:rsidRPr="00BA0070" w:rsidRDefault="00163B9F" w:rsidP="00BA0070">
            <w:pPr>
              <w:jc w:val="center"/>
              <w:rPr>
                <w:b/>
                <w:bCs/>
                <w:sz w:val="36"/>
                <w:szCs w:val="36"/>
              </w:rPr>
            </w:pPr>
            <w:r w:rsidRPr="00BA0070">
              <w:rPr>
                <w:b/>
                <w:bCs/>
                <w:sz w:val="36"/>
                <w:szCs w:val="36"/>
              </w:rPr>
              <w:t>ΟΙΚΙΣΤΙΚΕΣ ΠΥΚΝΩΣΕΙΣ</w:t>
            </w:r>
          </w:p>
        </w:tc>
        <w:tc>
          <w:tcPr>
            <w:tcW w:w="11389" w:type="dxa"/>
            <w:gridSpan w:val="2"/>
          </w:tcPr>
          <w:p w14:paraId="5219797B" w14:textId="77777777" w:rsidR="00163B9F" w:rsidRDefault="00163B9F" w:rsidP="00163B9F">
            <w:pPr>
              <w:pStyle w:val="a5"/>
              <w:numPr>
                <w:ilvl w:val="0"/>
                <w:numId w:val="1"/>
              </w:numPr>
              <w:jc w:val="both"/>
            </w:pPr>
            <w:r>
              <w:t xml:space="preserve">Σε συμμόρφωση με την υπ’ αρ. 685/2019 απόφαση του </w:t>
            </w:r>
            <w:proofErr w:type="spellStart"/>
            <w:r>
              <w:t>ΣτΕ</w:t>
            </w:r>
            <w:proofErr w:type="spellEnd"/>
            <w:r>
              <w:t>, εντός χρονικού διαστήματος δύο (2) μηνών από την έναρξη ισχύος του νόμου αναρτώνται, σύμφωνα με τη διαδικασία των άρθρων 13 έως 17 του ν. 3889/2010 (Α’ 182), οι δασικοί χάρτες των περιοχών που ε</w:t>
            </w:r>
            <w:r>
              <w:t>ί</w:t>
            </w:r>
            <w:r>
              <w:t>χαν περιληφθεί εντός ιώδους περιγράμματος στα χαρτογραφικά υπόβαθρα και είχαν εξα</w:t>
            </w:r>
            <w:r>
              <w:t>ι</w:t>
            </w:r>
            <w:r>
              <w:t>ρεθεί από την ανάρτηση σύμφωνα με τη διάταξη της παρ. 5 του άρθρου 23 του ν. 3889/2010. Από το χρόνο της κατά τα ανωτέρω ανάρτησης εκκινούν οι προθεσμίες για την άσκηση των αντιρρήσεων που προβλέπονται στο άρθρο 15 του ν. 3889/2010. Οι διατάξεις των παρ. 4 έως 7 του άρθρου 23 του ν. 3889/2010 καταργούνται.</w:t>
            </w:r>
          </w:p>
          <w:p w14:paraId="39086C76" w14:textId="1700302E" w:rsidR="008A17B9" w:rsidRDefault="00163B9F" w:rsidP="00163B9F">
            <w:pPr>
              <w:pStyle w:val="a5"/>
              <w:numPr>
                <w:ilvl w:val="0"/>
                <w:numId w:val="1"/>
              </w:numPr>
              <w:jc w:val="both"/>
            </w:pPr>
            <w:r>
              <w:t>Ορίζεται νέο πεδίο εφαρμογής και διαδικασία υπαγωγής στις οικιστικές πυκνώσεις.</w:t>
            </w:r>
          </w:p>
          <w:p w14:paraId="28406FCC" w14:textId="73522B6F" w:rsidR="00F269ED" w:rsidRDefault="00F269ED" w:rsidP="00163B9F">
            <w:pPr>
              <w:jc w:val="both"/>
            </w:pPr>
          </w:p>
        </w:tc>
        <w:tc>
          <w:tcPr>
            <w:tcW w:w="3510" w:type="dxa"/>
          </w:tcPr>
          <w:p w14:paraId="259573D9" w14:textId="7018C9E2" w:rsidR="00F269ED" w:rsidRPr="00F269ED" w:rsidRDefault="00163B9F" w:rsidP="008B0CF6">
            <w:pPr>
              <w:jc w:val="center"/>
              <w:rPr>
                <w:b/>
                <w:bCs/>
              </w:rPr>
            </w:pPr>
            <w:r w:rsidRPr="00F269ED">
              <w:rPr>
                <w:b/>
                <w:bCs/>
              </w:rPr>
              <w:t>Αρ.</w:t>
            </w:r>
            <w:r w:rsidR="008A17B9">
              <w:rPr>
                <w:b/>
                <w:bCs/>
              </w:rPr>
              <w:t xml:space="preserve"> </w:t>
            </w:r>
            <w:r w:rsidRPr="00F269ED">
              <w:rPr>
                <w:b/>
                <w:bCs/>
              </w:rPr>
              <w:t>50-55</w:t>
            </w:r>
          </w:p>
          <w:p w14:paraId="57EBB629" w14:textId="77777777" w:rsidR="00F269ED" w:rsidRDefault="00F269ED" w:rsidP="00F269ED">
            <w:pPr>
              <w:jc w:val="both"/>
            </w:pPr>
          </w:p>
          <w:p w14:paraId="681B90B1" w14:textId="718A0B98" w:rsidR="00163B9F" w:rsidRDefault="00163B9F" w:rsidP="00F269ED">
            <w:pPr>
              <w:jc w:val="both"/>
            </w:pPr>
            <w:r>
              <w:t>Εισάγονται νέες ρυθμίσεις για τις οικιστικές πυκνώσεις.</w:t>
            </w:r>
          </w:p>
        </w:tc>
      </w:tr>
      <w:tr w:rsidR="0031001F" w14:paraId="3782D31B" w14:textId="77777777" w:rsidTr="0031001F">
        <w:trPr>
          <w:trHeight w:val="421"/>
          <w:jc w:val="center"/>
        </w:trPr>
        <w:tc>
          <w:tcPr>
            <w:tcW w:w="2688" w:type="dxa"/>
            <w:vMerge w:val="restart"/>
            <w:shd w:val="clear" w:color="auto" w:fill="FFD966" w:themeFill="accent4" w:themeFillTint="99"/>
            <w:textDirection w:val="btLr"/>
          </w:tcPr>
          <w:p w14:paraId="58ED173B" w14:textId="77777777" w:rsidR="0031001F" w:rsidRPr="00F269ED" w:rsidRDefault="0031001F" w:rsidP="00BA0070">
            <w:pPr>
              <w:ind w:left="113" w:right="113"/>
              <w:jc w:val="center"/>
              <w:rPr>
                <w:sz w:val="48"/>
                <w:szCs w:val="48"/>
              </w:rPr>
            </w:pPr>
          </w:p>
          <w:p w14:paraId="1AA11006" w14:textId="77777777" w:rsidR="0031001F" w:rsidRPr="00BA0070" w:rsidRDefault="0031001F" w:rsidP="00BA0070">
            <w:pPr>
              <w:ind w:left="113" w:right="113"/>
              <w:jc w:val="center"/>
              <w:rPr>
                <w:sz w:val="56"/>
                <w:szCs w:val="56"/>
              </w:rPr>
            </w:pPr>
            <w:r w:rsidRPr="00F269ED">
              <w:rPr>
                <w:sz w:val="48"/>
                <w:szCs w:val="48"/>
              </w:rPr>
              <w:t>ΕΝΕΡΓΕΙΑΚΗ ΑΠΟΔΟΣΗ ΚΤΙΡΙΩΝ</w:t>
            </w:r>
          </w:p>
        </w:tc>
        <w:tc>
          <w:tcPr>
            <w:tcW w:w="14899" w:type="dxa"/>
            <w:gridSpan w:val="3"/>
          </w:tcPr>
          <w:p w14:paraId="34518C5E" w14:textId="1DCD45EA" w:rsidR="0031001F" w:rsidRDefault="00F269ED" w:rsidP="00457FE7">
            <w:pPr>
              <w:jc w:val="center"/>
            </w:pPr>
            <w:r>
              <w:rPr>
                <w:b/>
                <w:bCs/>
              </w:rPr>
              <w:t xml:space="preserve">Με το </w:t>
            </w:r>
            <w:r w:rsidR="0031001F" w:rsidRPr="00F269ED">
              <w:rPr>
                <w:b/>
                <w:bCs/>
              </w:rPr>
              <w:t>Αρ.</w:t>
            </w:r>
            <w:r w:rsidR="00457FE7">
              <w:rPr>
                <w:b/>
                <w:bCs/>
              </w:rPr>
              <w:t xml:space="preserve"> </w:t>
            </w:r>
            <w:r w:rsidR="0031001F" w:rsidRPr="00F269ED">
              <w:rPr>
                <w:b/>
                <w:bCs/>
              </w:rPr>
              <w:t>56 Τροποποι</w:t>
            </w:r>
            <w:r w:rsidR="008A17B9">
              <w:rPr>
                <w:b/>
                <w:bCs/>
              </w:rPr>
              <w:t>ούνται τα άρθρα</w:t>
            </w:r>
            <w:r w:rsidR="0031001F" w:rsidRPr="00F269ED">
              <w:rPr>
                <w:b/>
                <w:bCs/>
              </w:rPr>
              <w:t xml:space="preserve"> 1 και 2 Ν.</w:t>
            </w:r>
            <w:r w:rsidR="008A17B9">
              <w:rPr>
                <w:b/>
                <w:bCs/>
              </w:rPr>
              <w:t xml:space="preserve"> </w:t>
            </w:r>
            <w:r w:rsidR="0031001F" w:rsidRPr="00F269ED">
              <w:rPr>
                <w:b/>
                <w:bCs/>
              </w:rPr>
              <w:t>4122/2013 που αφορ</w:t>
            </w:r>
            <w:r w:rsidR="008A17B9">
              <w:rPr>
                <w:b/>
                <w:bCs/>
              </w:rPr>
              <w:t>ούν</w:t>
            </w:r>
            <w:r w:rsidR="0031001F" w:rsidRPr="00F269ED">
              <w:rPr>
                <w:b/>
                <w:bCs/>
              </w:rPr>
              <w:t xml:space="preserve"> στο σκοπό και τους ορισμούς.</w:t>
            </w:r>
          </w:p>
        </w:tc>
      </w:tr>
      <w:tr w:rsidR="00BA0070" w14:paraId="5406E0BD" w14:textId="77777777" w:rsidTr="0031001F">
        <w:trPr>
          <w:trHeight w:val="421"/>
          <w:jc w:val="center"/>
        </w:trPr>
        <w:tc>
          <w:tcPr>
            <w:tcW w:w="2688" w:type="dxa"/>
            <w:vMerge/>
            <w:shd w:val="clear" w:color="auto" w:fill="FFD966" w:themeFill="accent4" w:themeFillTint="99"/>
          </w:tcPr>
          <w:p w14:paraId="30E98E4C" w14:textId="77777777" w:rsidR="00BA0070" w:rsidRDefault="00BA0070" w:rsidP="005C5CDF">
            <w:pPr>
              <w:jc w:val="both"/>
            </w:pPr>
          </w:p>
        </w:tc>
        <w:tc>
          <w:tcPr>
            <w:tcW w:w="5953" w:type="dxa"/>
          </w:tcPr>
          <w:p w14:paraId="0B04CB23" w14:textId="77777777" w:rsidR="00BA0070" w:rsidRDefault="00BA0070" w:rsidP="00FC3135">
            <w:pPr>
              <w:jc w:val="both"/>
            </w:pPr>
            <w:r>
              <w:t>7. Οι ελάχιστες απαιτήσεις δεν εφαρμόζονται στις εξής κατηγορίες κτιρίων:</w:t>
            </w:r>
          </w:p>
          <w:p w14:paraId="51F1A2CE" w14:textId="77777777" w:rsidR="00BA0070" w:rsidRDefault="00BA0070" w:rsidP="00FC3135">
            <w:pPr>
              <w:jc w:val="both"/>
            </w:pPr>
            <w:r>
              <w:t>α) μνημεία,</w:t>
            </w:r>
          </w:p>
          <w:p w14:paraId="3DFF8F4E" w14:textId="77777777" w:rsidR="00BA0070" w:rsidRDefault="00BA0070" w:rsidP="00FC3135">
            <w:pPr>
              <w:jc w:val="both"/>
            </w:pPr>
            <w:r>
              <w:t>β) κτίρια προστατευόμενα ως μέρος συγκεκριμ</w:t>
            </w:r>
            <w:r>
              <w:t>έ</w:t>
            </w:r>
            <w:r>
              <w:t>νου περιβάλλοντος ή λόγω της ιδιαίτερης αρχιτ</w:t>
            </w:r>
            <w:r>
              <w:t>ε</w:t>
            </w:r>
            <w:r>
              <w:t>κτονικής ή ιστορικής τους αξίας, όπως διατηρητέα και εντός παραδοσιακών οικισμών κτίρια, στο βαθμό που η συμμόρφωση προς ορισμένες ελ</w:t>
            </w:r>
            <w:r>
              <w:t>ά</w:t>
            </w:r>
            <w:r>
              <w:t>χιστες απαιτήσεις ενεργειακής απόδοσης θα α</w:t>
            </w:r>
            <w:r>
              <w:t>λ</w:t>
            </w:r>
            <w:r>
              <w:t>λοίωνε κατά τρόπο μη αποδεκτό το χαρακτήρα ή την εμφάνιση τους,</w:t>
            </w:r>
          </w:p>
          <w:p w14:paraId="10296E58" w14:textId="77777777" w:rsidR="00BA0070" w:rsidRDefault="00BA0070" w:rsidP="00FC3135">
            <w:pPr>
              <w:jc w:val="both"/>
            </w:pPr>
            <w:r>
              <w:t>γ) κτίρια χρησιμοποιούμενα ως χώροι λατρείας,</w:t>
            </w:r>
          </w:p>
          <w:p w14:paraId="207AD2A1" w14:textId="77777777" w:rsidR="00BA0070" w:rsidRDefault="00BA0070" w:rsidP="00FC3135">
            <w:pPr>
              <w:jc w:val="both"/>
            </w:pPr>
            <w:r>
              <w:t>δ) βιομηχανικές εγκαταστάσεις, βιοτεχνίες, εργ</w:t>
            </w:r>
            <w:r>
              <w:t>α</w:t>
            </w:r>
            <w:r>
              <w:t>στήρια,</w:t>
            </w:r>
          </w:p>
          <w:p w14:paraId="22EF27DB" w14:textId="52EDB59C" w:rsidR="00BA0070" w:rsidRDefault="00BA0070" w:rsidP="00FC3135">
            <w:pPr>
              <w:jc w:val="both"/>
            </w:pPr>
            <w:r>
              <w:t>ε) προσωρινής χρήσης κτίρια που με βάση το σχ</w:t>
            </w:r>
            <w:r>
              <w:t>ε</w:t>
            </w:r>
            <w:r>
              <w:t>διασμό τους η διάρκεια χρήσης τους δεν υπε</w:t>
            </w:r>
            <w:r>
              <w:t>ρ</w:t>
            </w:r>
            <w:r>
              <w:t>βαίνει τα δύο (2) έτη, αποθήκες, χώροι στάθμε</w:t>
            </w:r>
            <w:r>
              <w:t>υ</w:t>
            </w:r>
            <w:r>
              <w:t xml:space="preserve">σης οχημάτων, πρατήρια υγρών καυσίμων, κτίρια αγροτικών χρήσεων </w:t>
            </w:r>
            <w:r w:rsidR="008A17B9">
              <w:t>–πλην κατοικιών–</w:t>
            </w:r>
            <w:r>
              <w:t xml:space="preserve"> με χαμηλές </w:t>
            </w:r>
            <w:r>
              <w:lastRenderedPageBreak/>
              <w:t>ενεργειακές α</w:t>
            </w:r>
            <w:r w:rsidR="008A17B9">
              <w:t>παιτήσεις και αγροτικά κτίρια –</w:t>
            </w:r>
            <w:r>
              <w:t>πλην κατοικιών</w:t>
            </w:r>
            <w:r w:rsidR="008A17B9">
              <w:t xml:space="preserve">– </w:t>
            </w:r>
            <w:r>
              <w:t>που χρησιμοποιούνται από τομέα κ</w:t>
            </w:r>
            <w:r>
              <w:t>α</w:t>
            </w:r>
            <w:r>
              <w:t>λυπτόμενο από εθνική συμφωνία που αφορά την ενεργειακή απόδοση κτιρίων,</w:t>
            </w:r>
          </w:p>
          <w:p w14:paraId="4BD8CD55" w14:textId="77777777" w:rsidR="00BA0070" w:rsidRDefault="00BA0070" w:rsidP="00FC3135">
            <w:pPr>
              <w:jc w:val="both"/>
            </w:pPr>
            <w:r>
              <w:t xml:space="preserve">στ) μεμονωμένα κτίρια, με συνολική ωφέλιμη </w:t>
            </w:r>
            <w:r>
              <w:t>ε</w:t>
            </w:r>
            <w:r>
              <w:t xml:space="preserve">πιφάνεια μικρότερη από πενήντα τετραγωνικά μέτρα (50 </w:t>
            </w:r>
            <w:proofErr w:type="spellStart"/>
            <w:r>
              <w:t>τ.μ</w:t>
            </w:r>
            <w:proofErr w:type="spellEnd"/>
            <w:r>
              <w:t>.), για τα οποία ισχύουν μόνο οι ελ</w:t>
            </w:r>
            <w:r>
              <w:t>ά</w:t>
            </w:r>
            <w:r>
              <w:t>χιστες απαιτήσεις που αφορούν σε δομικά στο</w:t>
            </w:r>
            <w:r>
              <w:t>ι</w:t>
            </w:r>
            <w:r>
              <w:t>χεία του κτιριακού κελύφους.</w:t>
            </w:r>
          </w:p>
          <w:p w14:paraId="574A0860" w14:textId="0C42695A" w:rsidR="00BA0070" w:rsidRPr="007A2BB1" w:rsidRDefault="00BA0070" w:rsidP="008D7EBA">
            <w:pPr>
              <w:jc w:val="both"/>
            </w:pPr>
            <w:r>
              <w:t>Εφόσον τα παραπάνω κτίρια των περιπτώσεων γ</w:t>
            </w:r>
            <w:r w:rsidR="008A17B9">
              <w:t>’</w:t>
            </w:r>
            <w:r>
              <w:t>, δ</w:t>
            </w:r>
            <w:r w:rsidR="008D7EBA">
              <w:t>’ και ε’</w:t>
            </w:r>
            <w:r>
              <w:t xml:space="preserve"> περιλαμβάνουν χώρους - τμήματα λε</w:t>
            </w:r>
            <w:r>
              <w:t>ι</w:t>
            </w:r>
            <w:r>
              <w:t>τουργικά ανεξάρτητα και αυτόνομα συνολικής επιφάνειας μεγαλύτερης ή ίσης των πενήντα τ</w:t>
            </w:r>
            <w:r>
              <w:t>ε</w:t>
            </w:r>
            <w:r>
              <w:t xml:space="preserve">τραγωνικών μέτρων (50 </w:t>
            </w:r>
            <w:proofErr w:type="spellStart"/>
            <w:r>
              <w:t>τ.μ</w:t>
            </w:r>
            <w:proofErr w:type="spellEnd"/>
            <w:r>
              <w:t xml:space="preserve">.), με χρήσεις που </w:t>
            </w:r>
            <w:r>
              <w:t>ε</w:t>
            </w:r>
            <w:r>
              <w:t>μπίπτουν στο πεδίο εφαρμογής του ΚΕΝΑΚ (όπως χώροι γραφείων, συνάθροισης κοινού, εμπορίου κλπ.), για τα τμήματα αυτά ισχύουν οι ελάχιστες απαιτήσεις.</w:t>
            </w:r>
          </w:p>
        </w:tc>
        <w:tc>
          <w:tcPr>
            <w:tcW w:w="5436" w:type="dxa"/>
          </w:tcPr>
          <w:p w14:paraId="6A5B6271" w14:textId="77777777" w:rsidR="0081634E" w:rsidRDefault="0081634E" w:rsidP="0081634E">
            <w:pPr>
              <w:jc w:val="both"/>
            </w:pPr>
            <w:r>
              <w:lastRenderedPageBreak/>
              <w:t>7. Οι ελάχιστες απαιτήσεις δεν εφαρμόζονται στις εξής</w:t>
            </w:r>
          </w:p>
          <w:p w14:paraId="4EDC7399" w14:textId="77777777" w:rsidR="0081634E" w:rsidRDefault="0081634E" w:rsidP="0081634E">
            <w:pPr>
              <w:jc w:val="both"/>
            </w:pPr>
            <w:r>
              <w:t>κατηγορίες κτιρίων:</w:t>
            </w:r>
          </w:p>
          <w:p w14:paraId="373952F5" w14:textId="663A9083" w:rsidR="0081634E" w:rsidRDefault="0081634E" w:rsidP="0081634E">
            <w:pPr>
              <w:jc w:val="both"/>
            </w:pPr>
            <w:r>
              <w:t>α) κτίρια προστατευόμενα ως μέρος συγκ</w:t>
            </w:r>
            <w:r>
              <w:t>ε</w:t>
            </w:r>
            <w:r>
              <w:t>κριμένου περιβάλλοντος ή λόγω της ιδιαίτ</w:t>
            </w:r>
            <w:r>
              <w:t>ε</w:t>
            </w:r>
            <w:r>
              <w:t>ρης αρχιτεκτονικής ή ιστορικής τους αξίας, στον βαθμό που η συμμόρφωση προς ορ</w:t>
            </w:r>
            <w:r>
              <w:t>ι</w:t>
            </w:r>
            <w:r>
              <w:t xml:space="preserve">σμένες ελάχιστες απαιτήσεις ενεργειακής </w:t>
            </w:r>
            <w:r>
              <w:t>α</w:t>
            </w:r>
            <w:r>
              <w:t>πόδοσης θα αλλοίωνε κατά τρόπο μη αποδ</w:t>
            </w:r>
            <w:r>
              <w:t>ε</w:t>
            </w:r>
            <w:r>
              <w:t>κτό το χαρακτήρα ή την εμφάνισή τους,</w:t>
            </w:r>
          </w:p>
          <w:p w14:paraId="2D3047F6" w14:textId="77777777" w:rsidR="0081634E" w:rsidRDefault="0081634E" w:rsidP="0081634E">
            <w:pPr>
              <w:jc w:val="both"/>
            </w:pPr>
            <w:r>
              <w:t>β) κτίρια χρησιμοποιούμενα ως χώροι λατρε</w:t>
            </w:r>
            <w:r>
              <w:t>ί</w:t>
            </w:r>
            <w:r>
              <w:t>ας,</w:t>
            </w:r>
          </w:p>
          <w:p w14:paraId="75B51C04" w14:textId="3ABE9261" w:rsidR="0081634E" w:rsidRDefault="0081634E" w:rsidP="0081634E">
            <w:pPr>
              <w:jc w:val="both"/>
            </w:pPr>
            <w:r>
              <w:t>γ) βιομηχανικές εγκαταστάσεις, βιοτεχνίες, επαγγελματικά εργαστήρια, αποθήκες,</w:t>
            </w:r>
          </w:p>
          <w:p w14:paraId="09264092" w14:textId="0965591E" w:rsidR="0081634E" w:rsidRDefault="0081634E" w:rsidP="0081634E">
            <w:pPr>
              <w:jc w:val="both"/>
            </w:pPr>
            <w:r>
              <w:t xml:space="preserve">δ) προσωρινής χρήσης κτίρια που η διάρκεια χρήσης των οποίων με βάση το σχεδιασμό τους δεν υπερβαίνει τα δύο (2) έτη, κτίρια αγροτικών χρήσεων </w:t>
            </w:r>
            <w:r w:rsidR="008A17B9">
              <w:t>–πλην κατοικιών–</w:t>
            </w:r>
            <w:r>
              <w:t xml:space="preserve"> με χ</w:t>
            </w:r>
            <w:r>
              <w:t>α</w:t>
            </w:r>
            <w:r>
              <w:t>μηλές ενεργειακές απαιτήσεις και αγροτικά</w:t>
            </w:r>
          </w:p>
          <w:p w14:paraId="502E48BF" w14:textId="195B409E" w:rsidR="0081634E" w:rsidRDefault="008D7EBA" w:rsidP="0081634E">
            <w:pPr>
              <w:jc w:val="both"/>
            </w:pPr>
            <w:r>
              <w:lastRenderedPageBreak/>
              <w:t>κτίρια –πλην κατοικιών–</w:t>
            </w:r>
            <w:r w:rsidR="0081634E">
              <w:t xml:space="preserve"> που χρησιμοποιο</w:t>
            </w:r>
            <w:r w:rsidR="0081634E">
              <w:t>ύ</w:t>
            </w:r>
            <w:r w:rsidR="0081634E">
              <w:t>νται από τομέα καλυπτόμενο από εθνική συμφωνία που αφορά την ενεργειακή απ</w:t>
            </w:r>
            <w:r w:rsidR="0081634E">
              <w:t>ό</w:t>
            </w:r>
            <w:r w:rsidR="0081634E">
              <w:t>δοση κτιρίων,</w:t>
            </w:r>
          </w:p>
          <w:p w14:paraId="711FBD8A" w14:textId="3E441A52" w:rsidR="0081634E" w:rsidRDefault="0081634E" w:rsidP="0081634E">
            <w:pPr>
              <w:jc w:val="both"/>
            </w:pPr>
            <w:r>
              <w:t>ε) μεμονωμένα κτίρια, με συνολική ωφέλιμη επιφάνεια μικρότερη από πενήντα τετραγ</w:t>
            </w:r>
            <w:r>
              <w:t>ω</w:t>
            </w:r>
            <w:r>
              <w:t xml:space="preserve">νικά μέτρα (50 </w:t>
            </w:r>
            <w:proofErr w:type="spellStart"/>
            <w:r>
              <w:t>τ.μ</w:t>
            </w:r>
            <w:proofErr w:type="spellEnd"/>
            <w:r>
              <w:t>.), για τα οποία ισχύουν μ</w:t>
            </w:r>
            <w:r>
              <w:t>ό</w:t>
            </w:r>
            <w:r>
              <w:t>νο οι ελάχιστες απαιτήσεις που</w:t>
            </w:r>
          </w:p>
          <w:p w14:paraId="69B74068" w14:textId="77777777" w:rsidR="0081634E" w:rsidRDefault="0081634E" w:rsidP="0081634E">
            <w:pPr>
              <w:jc w:val="both"/>
            </w:pPr>
            <w:r>
              <w:t>αφορούν σε δομικά στοιχεία του κτιριακού κελύφους.</w:t>
            </w:r>
          </w:p>
          <w:p w14:paraId="3C49EEF5" w14:textId="2EA55B71" w:rsidR="00BA0070" w:rsidRDefault="0081634E" w:rsidP="0081634E">
            <w:pPr>
              <w:jc w:val="both"/>
            </w:pPr>
            <w:r>
              <w:t>Εφόσον τα παραπάνω κτίρια των περιπτώσ</w:t>
            </w:r>
            <w:r>
              <w:t>ε</w:t>
            </w:r>
            <w:r>
              <w:t>ων β’, γ’ και δ’ περιλαμβάνουν χώρους - τμ</w:t>
            </w:r>
            <w:r>
              <w:t>ή</w:t>
            </w:r>
            <w:r>
              <w:t>ματα λειτουργικά ανεξάρτητα και αυτόνομα συνολικής επιφάνειας μεγαλύτερης ή ίσης των πενήντα τετραγωνικών μέτρων (50τ.μ.), με χρήσεις που εμπίπτουν στο πεδίο εφαρμ</w:t>
            </w:r>
            <w:r>
              <w:t>ο</w:t>
            </w:r>
            <w:r>
              <w:t>γής του παρόντος (όπως χώροι γραφείων, σ</w:t>
            </w:r>
            <w:r>
              <w:t>υ</w:t>
            </w:r>
            <w:r>
              <w:t>νάθροισης κοινού, εμπορίου), για τα τμήματα αυτά ισχύουν οι ελάχιστες απαιτήσεις.»</w:t>
            </w:r>
          </w:p>
        </w:tc>
        <w:tc>
          <w:tcPr>
            <w:tcW w:w="3510" w:type="dxa"/>
          </w:tcPr>
          <w:p w14:paraId="7B60FB00" w14:textId="77777777" w:rsidR="00BA0070" w:rsidRPr="00DF5531" w:rsidRDefault="00BA0070" w:rsidP="00FC3135">
            <w:pPr>
              <w:jc w:val="center"/>
              <w:rPr>
                <w:b/>
                <w:bCs/>
              </w:rPr>
            </w:pPr>
            <w:r w:rsidRPr="00DF5531">
              <w:rPr>
                <w:b/>
                <w:bCs/>
              </w:rPr>
              <w:lastRenderedPageBreak/>
              <w:t>ΑΜΕΣΟΥ ΣΥΜΒΟΛΑΙΟΓΡΑΦ</w:t>
            </w:r>
            <w:r w:rsidRPr="00DF5531">
              <w:rPr>
                <w:b/>
                <w:bCs/>
              </w:rPr>
              <w:t>Ι</w:t>
            </w:r>
            <w:r w:rsidRPr="00DF5531">
              <w:rPr>
                <w:b/>
                <w:bCs/>
              </w:rPr>
              <w:t>ΚΟΥ ΕΝΔΙΑΦΕΡΟΝΤΟΣ</w:t>
            </w:r>
          </w:p>
          <w:p w14:paraId="06EFBAC2" w14:textId="77777777" w:rsidR="005374E8" w:rsidRDefault="005374E8" w:rsidP="007A2BB1">
            <w:pPr>
              <w:jc w:val="both"/>
              <w:rPr>
                <w:b/>
                <w:bCs/>
              </w:rPr>
            </w:pPr>
          </w:p>
          <w:p w14:paraId="528A3293" w14:textId="0205D752" w:rsidR="00BA0070" w:rsidRPr="00F269ED" w:rsidRDefault="00BA0070" w:rsidP="008B0CF6">
            <w:pPr>
              <w:jc w:val="center"/>
              <w:rPr>
                <w:b/>
                <w:bCs/>
              </w:rPr>
            </w:pPr>
            <w:r w:rsidRPr="00F269ED">
              <w:rPr>
                <w:b/>
                <w:bCs/>
              </w:rPr>
              <w:t>Αρ.</w:t>
            </w:r>
            <w:r w:rsidR="008A17B9">
              <w:rPr>
                <w:b/>
                <w:bCs/>
              </w:rPr>
              <w:t xml:space="preserve"> </w:t>
            </w:r>
            <w:r w:rsidR="0081634E">
              <w:rPr>
                <w:b/>
                <w:bCs/>
              </w:rPr>
              <w:t>59</w:t>
            </w:r>
          </w:p>
          <w:p w14:paraId="05461587" w14:textId="77777777" w:rsidR="00F269ED" w:rsidRDefault="00F269ED" w:rsidP="007A2BB1">
            <w:pPr>
              <w:jc w:val="both"/>
            </w:pPr>
          </w:p>
          <w:p w14:paraId="1AC309BF" w14:textId="77777777" w:rsidR="00BA0070" w:rsidRDefault="00BA0070" w:rsidP="007A2BB1">
            <w:pPr>
              <w:jc w:val="both"/>
            </w:pPr>
            <w:r>
              <w:t xml:space="preserve">Τροποποιείται το άρθρο 4 </w:t>
            </w:r>
            <w:r w:rsidRPr="00FC3135">
              <w:t>Κ</w:t>
            </w:r>
            <w:r w:rsidRPr="00FC3135">
              <w:t>α</w:t>
            </w:r>
            <w:r w:rsidRPr="00FC3135">
              <w:t>θορισμός των ελάχιστων απα</w:t>
            </w:r>
            <w:r w:rsidRPr="00FC3135">
              <w:t>ι</w:t>
            </w:r>
            <w:r w:rsidRPr="00FC3135">
              <w:t>τήσεων ενεργειακής απόδοσης</w:t>
            </w:r>
          </w:p>
          <w:p w14:paraId="47599DC8" w14:textId="77777777" w:rsidR="00BA0070" w:rsidRDefault="00BA0070" w:rsidP="007A2BB1">
            <w:pPr>
              <w:jc w:val="both"/>
            </w:pPr>
            <w:r>
              <w:t xml:space="preserve">Καταγράφεται η παράγραφος 7 γιατί συνδέεται με το άρθρο 12 </w:t>
            </w:r>
            <w:r w:rsidRPr="00FC3135">
              <w:t>Έκδοση Πιστοποιητικού Ενε</w:t>
            </w:r>
            <w:r w:rsidRPr="00FC3135">
              <w:t>ρ</w:t>
            </w:r>
            <w:r w:rsidRPr="00FC3135">
              <w:t>γειακής Απόδοσης (ΠΕΑ)</w:t>
            </w:r>
            <w:r>
              <w:t xml:space="preserve"> που επίσης τροποποιείται εξ ολ</w:t>
            </w:r>
            <w:r>
              <w:t>ο</w:t>
            </w:r>
            <w:r>
              <w:t>κλήρου.</w:t>
            </w:r>
          </w:p>
        </w:tc>
      </w:tr>
      <w:tr w:rsidR="00BA0070" w14:paraId="6F0BFAFD" w14:textId="77777777" w:rsidTr="0031001F">
        <w:trPr>
          <w:trHeight w:val="421"/>
          <w:jc w:val="center"/>
        </w:trPr>
        <w:tc>
          <w:tcPr>
            <w:tcW w:w="2688" w:type="dxa"/>
            <w:vMerge/>
            <w:shd w:val="clear" w:color="auto" w:fill="FFD966" w:themeFill="accent4" w:themeFillTint="99"/>
          </w:tcPr>
          <w:p w14:paraId="26E89FC2" w14:textId="77777777" w:rsidR="00BA0070" w:rsidRDefault="00BA0070" w:rsidP="005C5CDF">
            <w:pPr>
              <w:jc w:val="both"/>
            </w:pPr>
          </w:p>
        </w:tc>
        <w:tc>
          <w:tcPr>
            <w:tcW w:w="5953" w:type="dxa"/>
          </w:tcPr>
          <w:p w14:paraId="45459AEF" w14:textId="6EFB8543" w:rsidR="00BA0070" w:rsidRDefault="00BA0070" w:rsidP="008A17B9">
            <w:pPr>
              <w:jc w:val="center"/>
            </w:pPr>
            <w:r>
              <w:t>Άρθρο 12</w:t>
            </w:r>
          </w:p>
          <w:p w14:paraId="1A55AB47" w14:textId="77777777" w:rsidR="00BA0070" w:rsidRDefault="00BA0070" w:rsidP="008A17B9">
            <w:pPr>
              <w:jc w:val="center"/>
            </w:pPr>
            <w:r>
              <w:t>Έκδοση Πιστοποιητικού Ενεργειακής Απόδοσης (ΠΕΑ)</w:t>
            </w:r>
          </w:p>
          <w:p w14:paraId="63987E36" w14:textId="77777777" w:rsidR="00BA0070" w:rsidRDefault="00BA0070" w:rsidP="00FC3135">
            <w:pPr>
              <w:jc w:val="both"/>
            </w:pPr>
          </w:p>
          <w:p w14:paraId="6C2EB907" w14:textId="77777777" w:rsidR="00BA0070" w:rsidRDefault="00BA0070" w:rsidP="00FC3135">
            <w:pPr>
              <w:jc w:val="both"/>
            </w:pPr>
          </w:p>
          <w:p w14:paraId="577D3275" w14:textId="77777777" w:rsidR="00BA0070" w:rsidRDefault="00BA0070" w:rsidP="00FC3135">
            <w:pPr>
              <w:jc w:val="both"/>
            </w:pPr>
            <w:r>
              <w:t>1. Η έκδοση ΠΕΑ είναι υποχρεωτική:</w:t>
            </w:r>
          </w:p>
          <w:p w14:paraId="7905A883" w14:textId="77777777" w:rsidR="00BA0070" w:rsidRDefault="00BA0070" w:rsidP="00FC3135">
            <w:pPr>
              <w:jc w:val="both"/>
            </w:pPr>
            <w:r>
              <w:t>α) μετά την ολοκλήρωση κατασκευής νέου κτιρ</w:t>
            </w:r>
            <w:r>
              <w:t>ί</w:t>
            </w:r>
            <w:r>
              <w:t>ου ή κτιριακής μονάδας».</w:t>
            </w:r>
          </w:p>
          <w:p w14:paraId="691EAD03" w14:textId="77777777" w:rsidR="00BA0070" w:rsidRDefault="00BA0070" w:rsidP="00FC3135">
            <w:pPr>
              <w:jc w:val="both"/>
            </w:pPr>
            <w:r>
              <w:t>β) μετά την ολοκλήρωση ριζικής ανακαίνισης κτ</w:t>
            </w:r>
            <w:r>
              <w:t>ι</w:t>
            </w:r>
            <w:r>
              <w:t>ρίου ή κτιριακής μονάδας,</w:t>
            </w:r>
          </w:p>
          <w:p w14:paraId="58E03D01" w14:textId="77777777" w:rsidR="00BA0070" w:rsidRDefault="00BA0070" w:rsidP="00FC3135">
            <w:pPr>
              <w:jc w:val="both"/>
            </w:pPr>
            <w:r>
              <w:t xml:space="preserve">γ) κατά την πώληση κτιρίου ή κτιριακής μονάδας </w:t>
            </w:r>
            <w:r>
              <w:lastRenderedPageBreak/>
              <w:t>μέχρι την ενεργοποίηση της Ταυτότητας του Κτ</w:t>
            </w:r>
            <w:r>
              <w:t>ι</w:t>
            </w:r>
            <w:r>
              <w:t>ρίου, κατά τις διατάξεις του ν. 3843/2010 στην οποία περιλαμβάνεται υποχρεωτικώς το Π.Ε.Α. και ο χρόνος ισχύος αυτού.</w:t>
            </w:r>
          </w:p>
          <w:p w14:paraId="2D91454D" w14:textId="77777777" w:rsidR="00BA0070" w:rsidRDefault="00BA0070" w:rsidP="00FC3135">
            <w:pPr>
              <w:jc w:val="both"/>
            </w:pPr>
            <w:r>
              <w:t>δ) κατά την μίσθωση σε νέο ενοικιαστή κτιρίου ή κτιριακής μονάδας, μέχρι την ενεργοποίηση της Ταυτότητας του Κτιρίου κατά τις διατάξεις του ν. 3843/2010 στην οποία περιλαμβάνεται υποχρε</w:t>
            </w:r>
            <w:r>
              <w:t>ω</w:t>
            </w:r>
            <w:r>
              <w:t>τικώς το Π.Ε.Α. και ο χρόνος ισχύος αυτού.»</w:t>
            </w:r>
          </w:p>
          <w:p w14:paraId="391C7111" w14:textId="77777777" w:rsidR="00BA0070" w:rsidRDefault="00BA0070" w:rsidP="00FC3135">
            <w:pPr>
              <w:jc w:val="both"/>
            </w:pPr>
            <w:r>
              <w:t>ε) για κτίρια συνολικής επιφάνειας άνω των π</w:t>
            </w:r>
            <w:r>
              <w:t>ε</w:t>
            </w:r>
            <w:r>
              <w:t xml:space="preserve">ντακοσίων τετραγωνικών μέτρων (500 </w:t>
            </w:r>
            <w:proofErr w:type="spellStart"/>
            <w:r>
              <w:t>τ.μ</w:t>
            </w:r>
            <w:proofErr w:type="spellEnd"/>
            <w:r>
              <w:t>.), τα οποία χρησιμοποιούνται από υπηρεσίες του δ</w:t>
            </w:r>
            <w:r>
              <w:t>η</w:t>
            </w:r>
            <w:r>
              <w:t>μόσιου και ευρύτερου δημόσιου τομέα, όπως αυτός ορίζεται κάθε φορά, και τα οποία επισκ</w:t>
            </w:r>
            <w:r>
              <w:t>έ</w:t>
            </w:r>
            <w:r>
              <w:t>πτεται συχνά το κοινό. Από τις 9 Ιουλίου 2015 το κατώτατο όριο των πεντακοσίων τετραγωνικών μέτρων μειώνεται στα διακόσια πενήντα τετρ</w:t>
            </w:r>
            <w:r>
              <w:t>α</w:t>
            </w:r>
            <w:r>
              <w:t xml:space="preserve">γωνικά μέτρα (250 </w:t>
            </w:r>
            <w:proofErr w:type="spellStart"/>
            <w:r>
              <w:t>τ.μ</w:t>
            </w:r>
            <w:proofErr w:type="spellEnd"/>
            <w:r>
              <w:t>.).</w:t>
            </w:r>
          </w:p>
          <w:p w14:paraId="132A67B4" w14:textId="77777777" w:rsidR="00BA0070" w:rsidRDefault="00BA0070" w:rsidP="00FC3135">
            <w:pPr>
              <w:jc w:val="both"/>
            </w:pPr>
            <w:r>
              <w:t>2. Κατά την πώληση ή μίσθωση κτιρίων ή κτιρι</w:t>
            </w:r>
            <w:r>
              <w:t>α</w:t>
            </w:r>
            <w:r>
              <w:t>κών μονάδων, επιδεικνύεται από τον ιδιοκτήτη το ΠΕΑ ή αντίγραφο του, στον υποψήφιο νέο αγ</w:t>
            </w:r>
            <w:r>
              <w:t>ο</w:t>
            </w:r>
            <w:r>
              <w:t>ραστή ή ενοικιαστή και παραδίδεται αυτό στο νέο αγοραστή ή ενοικιαστή.</w:t>
            </w:r>
          </w:p>
          <w:p w14:paraId="5CD925A7" w14:textId="77777777" w:rsidR="00BA0070" w:rsidRDefault="00BA0070" w:rsidP="00FC3135">
            <w:pPr>
              <w:jc w:val="both"/>
            </w:pPr>
            <w:r>
              <w:t>3. Κατά την πώληση ή μίσθωση κτιρίων ή κτιρι</w:t>
            </w:r>
            <w:r>
              <w:t>α</w:t>
            </w:r>
            <w:r>
              <w:t>κών μονάδων πριν από την ολοκλήρωση της κ</w:t>
            </w:r>
            <w:r>
              <w:t>α</w:t>
            </w:r>
            <w:r>
              <w:t>τασκευής τους, γνωστοποιείται από τον πωλητή ή τον εκμισθωτή η εκτίμηση της μελλοντικής ενε</w:t>
            </w:r>
            <w:r>
              <w:t>ρ</w:t>
            </w:r>
            <w:r>
              <w:t xml:space="preserve">γειακής απόδοσης τους, όπως αυτή προκύπτει από τη Μελέτη Ενεργειακής Απόδοσης (ΜΕΑ), κατά παρέκκλιση από τις παραγράφους 1 και 2, </w:t>
            </w:r>
            <w:r>
              <w:lastRenderedPageBreak/>
              <w:t xml:space="preserve">στον αγοραστή ή ενοικιαστή κατά περίπτωση. Στην περίπτωση αυτή το ΠΕΑ εκδίδεται μόλις </w:t>
            </w:r>
            <w:r>
              <w:t>ο</w:t>
            </w:r>
            <w:r>
              <w:t>λοκληρωθεί η κατασκευή του κτιρίου ή της κτιρ</w:t>
            </w:r>
            <w:r>
              <w:t>ι</w:t>
            </w:r>
            <w:r>
              <w:t>ακής μονάδας.</w:t>
            </w:r>
          </w:p>
          <w:p w14:paraId="11865987" w14:textId="77777777" w:rsidR="00BA0070" w:rsidRDefault="00BA0070" w:rsidP="00FC3135">
            <w:pPr>
              <w:jc w:val="both"/>
            </w:pPr>
            <w:r>
              <w:t xml:space="preserve">4. Κατά τη διάθεση προς πώληση ή προς μίσθωση κτιρίου ή κτιριακής μονάδας, που διαθέτει ΠΕΑ, απαιτείται η δήλωση του δείκτη ενεργειακής </w:t>
            </w:r>
            <w:r>
              <w:t>α</w:t>
            </w:r>
            <w:r>
              <w:t>πόδοσης (ενεργειακή κατηγορία), όπως αυτός προκύπτει από το ΠΕΑ, σε όλες τις εμπορικές δ</w:t>
            </w:r>
            <w:r>
              <w:t>ι</w:t>
            </w:r>
            <w:r>
              <w:t>αφημίσεις.</w:t>
            </w:r>
          </w:p>
          <w:p w14:paraId="6A254C0F" w14:textId="77777777" w:rsidR="00BA0070" w:rsidRDefault="00BA0070" w:rsidP="00FC3135">
            <w:pPr>
              <w:jc w:val="both"/>
            </w:pPr>
            <w:r>
              <w:t>5. Οι διατάξεις του παρόντος άρθρου δεν μπ</w:t>
            </w:r>
            <w:r>
              <w:t>ο</w:t>
            </w:r>
            <w:r>
              <w:t>ρούν να αποκλειστούν με συμφωνία των συμβα</w:t>
            </w:r>
            <w:r>
              <w:t>λ</w:t>
            </w:r>
            <w:r>
              <w:t>λόμενων μερών.</w:t>
            </w:r>
          </w:p>
          <w:p w14:paraId="33E3C83F" w14:textId="77777777" w:rsidR="00BA0070" w:rsidRDefault="00BA0070" w:rsidP="00FC3135">
            <w:pPr>
              <w:jc w:val="both"/>
            </w:pPr>
            <w:r>
              <w:t>6. Από την εφαρμογή των διατάξεων του παρ</w:t>
            </w:r>
            <w:r>
              <w:t>ό</w:t>
            </w:r>
            <w:r>
              <w:t>ντος άρθρου εξαιρούνται οι περιπτώσεις α`, γ`, δ`, ε` και στ` της παραγράφου 7 του άρθρου 4.</w:t>
            </w:r>
          </w:p>
          <w:p w14:paraId="4485E8D6" w14:textId="77777777" w:rsidR="00BA0070" w:rsidRPr="007A2BB1" w:rsidRDefault="00BA0070" w:rsidP="00FC3135">
            <w:pPr>
              <w:jc w:val="both"/>
            </w:pPr>
            <w:r>
              <w:t>7. Η έκδοση ΠΕΑ σε κτιριακές μονάδες με συνολ</w:t>
            </w:r>
            <w:r>
              <w:t>ι</w:t>
            </w:r>
            <w:r>
              <w:t xml:space="preserve">κή ωφέλιμη επιφάνεια μικρότερη από πενήντα τετραγωνικά μέτρα (50 </w:t>
            </w:r>
            <w:proofErr w:type="spellStart"/>
            <w:r>
              <w:t>τ.μ</w:t>
            </w:r>
            <w:proofErr w:type="spellEnd"/>
            <w:r>
              <w:t>.) είναι υποχρεωτική από 1.1.2016.</w:t>
            </w:r>
          </w:p>
        </w:tc>
        <w:tc>
          <w:tcPr>
            <w:tcW w:w="5436" w:type="dxa"/>
          </w:tcPr>
          <w:p w14:paraId="60422C50" w14:textId="77777777" w:rsidR="00BA0070" w:rsidRPr="005374E8" w:rsidRDefault="00BA0070" w:rsidP="00FC3135">
            <w:pPr>
              <w:jc w:val="both"/>
              <w:rPr>
                <w:b/>
                <w:bCs/>
              </w:rPr>
            </w:pPr>
            <w:r w:rsidRPr="005374E8">
              <w:rPr>
                <w:b/>
                <w:bCs/>
              </w:rPr>
              <w:lastRenderedPageBreak/>
              <w:t>Το άρθρο 12 του ν. 4122/2013 (Α΄ 42) αντ</w:t>
            </w:r>
            <w:r w:rsidRPr="005374E8">
              <w:rPr>
                <w:b/>
                <w:bCs/>
              </w:rPr>
              <w:t>ι</w:t>
            </w:r>
            <w:r w:rsidRPr="005374E8">
              <w:rPr>
                <w:b/>
                <w:bCs/>
              </w:rPr>
              <w:t>καθίσταται ως εξής:</w:t>
            </w:r>
          </w:p>
          <w:p w14:paraId="65AAD958" w14:textId="77777777" w:rsidR="00BA0070" w:rsidRDefault="00BA0070" w:rsidP="00FC3135">
            <w:pPr>
              <w:jc w:val="both"/>
            </w:pPr>
            <w:r>
              <w:t>«Άρθρο 12</w:t>
            </w:r>
          </w:p>
          <w:p w14:paraId="6660EE77" w14:textId="77777777" w:rsidR="00BA0070" w:rsidRDefault="00BA0070" w:rsidP="00FC3135">
            <w:pPr>
              <w:jc w:val="both"/>
            </w:pPr>
            <w:r>
              <w:t>Έκδοση Πιστοποιητικού Ενεργειακής Απόδ</w:t>
            </w:r>
            <w:r>
              <w:t>ο</w:t>
            </w:r>
            <w:r>
              <w:t>σης (ΠΕΑ)</w:t>
            </w:r>
          </w:p>
          <w:p w14:paraId="630B1EE4" w14:textId="77777777" w:rsidR="0081634E" w:rsidRDefault="0081634E" w:rsidP="0081634E">
            <w:pPr>
              <w:jc w:val="both"/>
            </w:pPr>
            <w:r>
              <w:t>1. Η έκδοση ΠΕΑ είναι υποχρεωτική:</w:t>
            </w:r>
          </w:p>
          <w:p w14:paraId="534B8CEC" w14:textId="0F5AC956" w:rsidR="0081634E" w:rsidRDefault="0081634E" w:rsidP="0081634E">
            <w:pPr>
              <w:jc w:val="both"/>
            </w:pPr>
            <w:r>
              <w:t>α) μετά την ολοκλήρωση κατασκευής νέου κτιρίου ή κτιριακής μονάδας,</w:t>
            </w:r>
          </w:p>
          <w:p w14:paraId="4421C436" w14:textId="4E477247" w:rsidR="0081634E" w:rsidRDefault="0081634E" w:rsidP="0081634E">
            <w:pPr>
              <w:jc w:val="both"/>
            </w:pPr>
            <w:r>
              <w:t>β) μετά την ολοκλήρωση ριζικής ανακαίνισης κτιρίου ή κτιριακής μονάδας,</w:t>
            </w:r>
          </w:p>
          <w:p w14:paraId="46DD5CA9" w14:textId="67B1E3B3" w:rsidR="0081634E" w:rsidRDefault="0081634E" w:rsidP="0081634E">
            <w:pPr>
              <w:jc w:val="both"/>
            </w:pPr>
            <w:r>
              <w:t>γ) κατά την πώληση κτιρίου ή κτιριακής μον</w:t>
            </w:r>
            <w:r>
              <w:t>ά</w:t>
            </w:r>
            <w:r>
              <w:lastRenderedPageBreak/>
              <w:t>δας μέχρι την ενεργοποίηση της Ταυτότητας του Κτιρίου, κατά τις διατάξεις του ν. 4495/2017 (Α’ 167) στην οποία περιλαμβάν</w:t>
            </w:r>
            <w:r>
              <w:t>ε</w:t>
            </w:r>
            <w:r>
              <w:t>ται υποχρεωτικώς το ΠΕΑ και ο χρόνος ισχύος αυτού,</w:t>
            </w:r>
          </w:p>
          <w:p w14:paraId="41CB822A" w14:textId="4769AB93" w:rsidR="0081634E" w:rsidRDefault="0081634E" w:rsidP="0081634E">
            <w:pPr>
              <w:jc w:val="both"/>
            </w:pPr>
            <w:r>
              <w:t xml:space="preserve">δ) κατά τη μίσθωση </w:t>
            </w:r>
            <w:r w:rsidRPr="0081634E">
              <w:rPr>
                <w:b/>
                <w:bCs/>
              </w:rPr>
              <w:t>(μακροχρόνια, βραχ</w:t>
            </w:r>
            <w:r w:rsidRPr="0081634E">
              <w:rPr>
                <w:b/>
                <w:bCs/>
              </w:rPr>
              <w:t>υ</w:t>
            </w:r>
            <w:r w:rsidRPr="0081634E">
              <w:rPr>
                <w:b/>
                <w:bCs/>
              </w:rPr>
              <w:t>χρόνια, υπεκμίσθωση)</w:t>
            </w:r>
            <w:r>
              <w:t xml:space="preserve"> σε νέο ενοικιαστή κτ</w:t>
            </w:r>
            <w:r>
              <w:t>ι</w:t>
            </w:r>
            <w:r>
              <w:t>ρίου ή κτιριακής μονάδας, μέχρι την ενεργ</w:t>
            </w:r>
            <w:r>
              <w:t>ο</w:t>
            </w:r>
            <w:r>
              <w:t xml:space="preserve">ποίηση της Ταυτότητας του Κτιρίου κατά τις διατάξεις του ν. 4495/2017 (Α’ 167) στην </w:t>
            </w:r>
            <w:r>
              <w:t>ο</w:t>
            </w:r>
            <w:r>
              <w:t>ποία περιλαμβάνονται υποχρεωτικώς το ΠΕΑ και ο χρόνος ισχύος αυτού,</w:t>
            </w:r>
          </w:p>
          <w:p w14:paraId="6A98C806" w14:textId="606E4790" w:rsidR="0081634E" w:rsidRDefault="0081634E" w:rsidP="0081634E">
            <w:pPr>
              <w:jc w:val="both"/>
            </w:pPr>
            <w:r>
              <w:t xml:space="preserve">ε) για κτίρια συνολικής επιφάνειας άνω των διακοσίων πενήντα τετραγωνικών μέτρων </w:t>
            </w:r>
            <w:r w:rsidRPr="0081634E">
              <w:rPr>
                <w:b/>
                <w:bCs/>
              </w:rPr>
              <w:t xml:space="preserve">(250 </w:t>
            </w:r>
            <w:proofErr w:type="spellStart"/>
            <w:r w:rsidRPr="0081634E">
              <w:rPr>
                <w:b/>
                <w:bCs/>
              </w:rPr>
              <w:t>τ.μ</w:t>
            </w:r>
            <w:proofErr w:type="spellEnd"/>
            <w:r w:rsidRPr="0081634E">
              <w:rPr>
                <w:b/>
                <w:bCs/>
              </w:rPr>
              <w:t>.)</w:t>
            </w:r>
            <w:r>
              <w:t>, τα οποία χρησιμοποιούνται από υπηρεσίες του δημόσιου και ευρύτερου δ</w:t>
            </w:r>
            <w:r>
              <w:t>η</w:t>
            </w:r>
            <w:r>
              <w:t>μόσιου τομέα, όπως αυτός ορίζεται κάθε φ</w:t>
            </w:r>
            <w:r>
              <w:t>ο</w:t>
            </w:r>
            <w:r>
              <w:t>ρά, και τα οποία επισκέπτεται συχνά το κοινό.</w:t>
            </w:r>
          </w:p>
          <w:p w14:paraId="3F8FF0F6" w14:textId="22BF875C" w:rsidR="0081634E" w:rsidRDefault="0081634E" w:rsidP="0081634E">
            <w:pPr>
              <w:jc w:val="both"/>
            </w:pPr>
            <w:r>
              <w:t>2. Κατά την πώληση ή μίσθωση κτιρίων ή κτ</w:t>
            </w:r>
            <w:r>
              <w:t>ι</w:t>
            </w:r>
            <w:r>
              <w:t>ριακών μονάδων, επιδεικνύεται από τον ιδι</w:t>
            </w:r>
            <w:r>
              <w:t>ο</w:t>
            </w:r>
            <w:r>
              <w:t>κτήτη ή εκμισθωτή το ΠΕΑ ή αντίγραφό του, στον υποψήφιο νέο αγοραστή ή ενοικιαστή και παραδίδεται αυτό στο νέο αγοραστή ή ενοικιαστή.</w:t>
            </w:r>
          </w:p>
          <w:p w14:paraId="5B6BF722" w14:textId="62589673" w:rsidR="0081634E" w:rsidRDefault="0081634E" w:rsidP="0081634E">
            <w:pPr>
              <w:jc w:val="both"/>
            </w:pPr>
            <w:r>
              <w:t>3. Κατά την πώληση ή μίσθωση κτιρίων ή κτ</w:t>
            </w:r>
            <w:r>
              <w:t>ι</w:t>
            </w:r>
            <w:r>
              <w:t>ριακών μονάδων πριν από την ολοκλήρωση της κατασκευής τους, γνωστοποιείται από τον πωλητή ή τον εκμισθωτή η εκτίμηση της με</w:t>
            </w:r>
            <w:r>
              <w:t>λ</w:t>
            </w:r>
            <w:r>
              <w:t xml:space="preserve">λοντικής ενεργειακής απόδοσής τους, όπως αυτή προκύπτει από τη Μελέτη Ενεργειακής </w:t>
            </w:r>
            <w:r>
              <w:lastRenderedPageBreak/>
              <w:t>Απόδοσης (ΜΕΑ), κατά παρέκκλιση από τις παραγράφους 1 και 2, στον αγοραστή ή ενο</w:t>
            </w:r>
            <w:r>
              <w:t>ι</w:t>
            </w:r>
            <w:r>
              <w:t>κιαστή κατά περίπτωση. Στην περίπτωση αυτή το ΠΕΑ εκδίδεται μόλις ολοκληρωθεί η</w:t>
            </w:r>
          </w:p>
          <w:p w14:paraId="7A1DEF81" w14:textId="46625519" w:rsidR="0081634E" w:rsidRPr="0081634E" w:rsidRDefault="0081634E" w:rsidP="0081634E">
            <w:pPr>
              <w:jc w:val="both"/>
              <w:rPr>
                <w:b/>
                <w:bCs/>
              </w:rPr>
            </w:pPr>
            <w:r>
              <w:t>κατασκευή του κτιρίου ή της κτιριακής μον</w:t>
            </w:r>
            <w:r>
              <w:t>ά</w:t>
            </w:r>
            <w:r>
              <w:t xml:space="preserve">δας, </w:t>
            </w:r>
            <w:r w:rsidRPr="0081634E">
              <w:rPr>
                <w:b/>
                <w:bCs/>
              </w:rPr>
              <w:t xml:space="preserve">συνοδευόμενο από το πόρισμα του </w:t>
            </w:r>
            <w:r w:rsidRPr="0081634E">
              <w:rPr>
                <w:b/>
                <w:bCs/>
              </w:rPr>
              <w:t>Ε</w:t>
            </w:r>
            <w:r w:rsidRPr="0081634E">
              <w:rPr>
                <w:b/>
                <w:bCs/>
              </w:rPr>
              <w:t>νεργειακού Επιθεωρητή του άρθρου 21.</w:t>
            </w:r>
          </w:p>
          <w:p w14:paraId="6E0FECE8" w14:textId="1D3C0889" w:rsidR="0081634E" w:rsidRDefault="0081634E" w:rsidP="0081634E">
            <w:pPr>
              <w:jc w:val="both"/>
            </w:pPr>
            <w:r>
              <w:t>4. Κατά τη διάθεση προς πώληση ή προς μ</w:t>
            </w:r>
            <w:r>
              <w:t>ί</w:t>
            </w:r>
            <w:r>
              <w:t>σθωση κτιρίου ή κτιριακής μονάδας, απαιτε</w:t>
            </w:r>
            <w:r>
              <w:t>ί</w:t>
            </w:r>
            <w:r>
              <w:t>ται η δήλωση του δείκτη ενεργειακής απόδ</w:t>
            </w:r>
            <w:r>
              <w:t>ο</w:t>
            </w:r>
            <w:r>
              <w:t>σης (ενεργειακή κατηγορία), όπως αυτός πρ</w:t>
            </w:r>
            <w:r>
              <w:t>ο</w:t>
            </w:r>
            <w:r>
              <w:t>κύπτει από το ΠΕΑ, σε όλες τις εμπορικές δ</w:t>
            </w:r>
            <w:r>
              <w:t>ι</w:t>
            </w:r>
            <w:r>
              <w:t>αφημίσεις και καταχωρήσεις.</w:t>
            </w:r>
          </w:p>
          <w:p w14:paraId="52596647" w14:textId="27C06257" w:rsidR="0081634E" w:rsidRDefault="0081634E" w:rsidP="0081634E">
            <w:pPr>
              <w:jc w:val="both"/>
            </w:pPr>
            <w:r>
              <w:t>5. Οι διατάξεις του παρόντος δεν μπορούν να αποκλειστούν με συμφωνία των συμβαλλ</w:t>
            </w:r>
            <w:r>
              <w:t>ό</w:t>
            </w:r>
            <w:r>
              <w:t>μενων μερών.</w:t>
            </w:r>
          </w:p>
          <w:p w14:paraId="02052F81" w14:textId="32627361" w:rsidR="0081634E" w:rsidRDefault="0081634E" w:rsidP="0081634E">
            <w:pPr>
              <w:jc w:val="both"/>
            </w:pPr>
            <w:r>
              <w:t>6. Από την εφαρμογή των διατάξεων του π</w:t>
            </w:r>
            <w:r>
              <w:t>α</w:t>
            </w:r>
            <w:r>
              <w:t xml:space="preserve">ρόντος </w:t>
            </w:r>
            <w:r w:rsidRPr="005374E8">
              <w:rPr>
                <w:b/>
                <w:bCs/>
              </w:rPr>
              <w:t>εξαιρούνται οι περιπτώσεις β’ και ε’</w:t>
            </w:r>
            <w:r>
              <w:t xml:space="preserve"> της παραγράφου 7 του άρθρου 4.</w:t>
            </w:r>
          </w:p>
          <w:p w14:paraId="1018F0BE" w14:textId="77777777" w:rsidR="0081634E" w:rsidRPr="005374E8" w:rsidRDefault="0081634E" w:rsidP="0081634E">
            <w:pPr>
              <w:jc w:val="both"/>
              <w:rPr>
                <w:b/>
                <w:bCs/>
              </w:rPr>
            </w:pPr>
            <w:r w:rsidRPr="005374E8">
              <w:rPr>
                <w:b/>
                <w:bCs/>
              </w:rPr>
              <w:t>7. Δεν εκδίδεται ΠΕΑ για τις εξής περιπτ</w:t>
            </w:r>
            <w:r w:rsidRPr="005374E8">
              <w:rPr>
                <w:b/>
                <w:bCs/>
              </w:rPr>
              <w:t>ώ</w:t>
            </w:r>
            <w:r w:rsidRPr="005374E8">
              <w:rPr>
                <w:b/>
                <w:bCs/>
              </w:rPr>
              <w:t>σεις:</w:t>
            </w:r>
          </w:p>
          <w:p w14:paraId="5F3F1BA5" w14:textId="20E92C70" w:rsidR="005374E8" w:rsidRPr="005374E8" w:rsidRDefault="005374E8" w:rsidP="005374E8">
            <w:pPr>
              <w:jc w:val="both"/>
              <w:rPr>
                <w:b/>
                <w:bCs/>
              </w:rPr>
            </w:pPr>
            <w:r w:rsidRPr="005374E8">
              <w:rPr>
                <w:b/>
                <w:bCs/>
              </w:rPr>
              <w:t>α. Για τα κτίρια ή τα τμήματα των κτιρίων που εμπίπτουν στις περιπτώσεις γ’ και δ’ της παραγράφου 7 του</w:t>
            </w:r>
            <w:r>
              <w:rPr>
                <w:b/>
                <w:bCs/>
              </w:rPr>
              <w:t xml:space="preserve"> </w:t>
            </w:r>
            <w:r w:rsidRPr="005374E8">
              <w:rPr>
                <w:b/>
                <w:bCs/>
              </w:rPr>
              <w:t>άρθρου 4.</w:t>
            </w:r>
          </w:p>
          <w:p w14:paraId="0B02913D" w14:textId="77777777" w:rsidR="005374E8" w:rsidRDefault="005374E8" w:rsidP="005374E8">
            <w:pPr>
              <w:jc w:val="both"/>
              <w:rPr>
                <w:b/>
                <w:bCs/>
              </w:rPr>
            </w:pPr>
            <w:r w:rsidRPr="005374E8">
              <w:rPr>
                <w:b/>
                <w:bCs/>
              </w:rPr>
              <w:t>β. Για κάθε κατασκευή που δεν πληροί την έννοια του</w:t>
            </w:r>
            <w:r>
              <w:rPr>
                <w:b/>
                <w:bCs/>
              </w:rPr>
              <w:t xml:space="preserve"> </w:t>
            </w:r>
            <w:r w:rsidRPr="005374E8">
              <w:rPr>
                <w:b/>
                <w:bCs/>
              </w:rPr>
              <w:t>κτιρίου ή της κτιριακής μονάδας κατά τον ορισμό του</w:t>
            </w:r>
            <w:r>
              <w:rPr>
                <w:b/>
                <w:bCs/>
              </w:rPr>
              <w:t xml:space="preserve"> </w:t>
            </w:r>
            <w:r w:rsidRPr="005374E8">
              <w:rPr>
                <w:b/>
                <w:bCs/>
              </w:rPr>
              <w:t xml:space="preserve">άρθρου </w:t>
            </w:r>
          </w:p>
          <w:p w14:paraId="33EF1634" w14:textId="1FCBDD8D" w:rsidR="005374E8" w:rsidRPr="005374E8" w:rsidRDefault="005374E8" w:rsidP="005374E8">
            <w:pPr>
              <w:jc w:val="both"/>
              <w:rPr>
                <w:b/>
                <w:bCs/>
              </w:rPr>
            </w:pPr>
            <w:r w:rsidRPr="005374E8">
              <w:rPr>
                <w:b/>
                <w:bCs/>
              </w:rPr>
              <w:t>2. Σε κάθε περίπτωση, τα ανωτέρω βεβαι</w:t>
            </w:r>
            <w:r w:rsidRPr="005374E8">
              <w:rPr>
                <w:b/>
                <w:bCs/>
              </w:rPr>
              <w:t>ώ</w:t>
            </w:r>
            <w:r w:rsidRPr="005374E8">
              <w:rPr>
                <w:b/>
                <w:bCs/>
              </w:rPr>
              <w:t>νονται από Ενεργειακό Επιθεωρητή που έχει το δικαίωμα</w:t>
            </w:r>
            <w:r>
              <w:rPr>
                <w:b/>
                <w:bCs/>
              </w:rPr>
              <w:t xml:space="preserve"> </w:t>
            </w:r>
            <w:r w:rsidRPr="005374E8">
              <w:rPr>
                <w:b/>
                <w:bCs/>
              </w:rPr>
              <w:t>έκδοσης ΠΕΑ για το συγκεκρ</w:t>
            </w:r>
            <w:r w:rsidRPr="005374E8">
              <w:rPr>
                <w:b/>
                <w:bCs/>
              </w:rPr>
              <w:t>ι</w:t>
            </w:r>
            <w:r w:rsidRPr="005374E8">
              <w:rPr>
                <w:b/>
                <w:bCs/>
              </w:rPr>
              <w:lastRenderedPageBreak/>
              <w:t>μένο κτίσμα.</w:t>
            </w:r>
          </w:p>
          <w:p w14:paraId="7DB0CB24" w14:textId="6C583E63" w:rsidR="005374E8" w:rsidRDefault="005374E8" w:rsidP="005374E8">
            <w:pPr>
              <w:jc w:val="both"/>
              <w:rPr>
                <w:b/>
                <w:bCs/>
              </w:rPr>
            </w:pPr>
            <w:r w:rsidRPr="005374E8">
              <w:rPr>
                <w:b/>
                <w:bCs/>
              </w:rPr>
              <w:t>8. Κατά την έντυπη ή ηλεκτρονική δήλωση στην αρμόδια Δημόσια Αρχή μίσθωσης (μ</w:t>
            </w:r>
            <w:r w:rsidRPr="005374E8">
              <w:rPr>
                <w:b/>
                <w:bCs/>
              </w:rPr>
              <w:t>α</w:t>
            </w:r>
            <w:r w:rsidRPr="005374E8">
              <w:rPr>
                <w:b/>
                <w:bCs/>
              </w:rPr>
              <w:t>κροχρόνιας, βραχυχρόνιας, υπεκμίσθωσ</w:t>
            </w:r>
            <w:r w:rsidR="002D44F6">
              <w:rPr>
                <w:b/>
                <w:bCs/>
              </w:rPr>
              <w:t xml:space="preserve">ης) σε νέο ενοικιαστή κτιρίου ή </w:t>
            </w:r>
            <w:r w:rsidRPr="005374E8">
              <w:rPr>
                <w:b/>
                <w:bCs/>
              </w:rPr>
              <w:t>κτιριακής μον</w:t>
            </w:r>
            <w:r w:rsidRPr="005374E8">
              <w:rPr>
                <w:b/>
                <w:bCs/>
              </w:rPr>
              <w:t>ά</w:t>
            </w:r>
            <w:r w:rsidRPr="005374E8">
              <w:rPr>
                <w:b/>
                <w:bCs/>
              </w:rPr>
              <w:t>δας, ο αριθμός πρωτοκόλλου του ΠΕΑ</w:t>
            </w:r>
            <w:r>
              <w:rPr>
                <w:b/>
                <w:bCs/>
              </w:rPr>
              <w:t xml:space="preserve"> </w:t>
            </w:r>
            <w:r w:rsidRPr="005374E8">
              <w:rPr>
                <w:b/>
                <w:bCs/>
              </w:rPr>
              <w:t>κατ</w:t>
            </w:r>
            <w:r w:rsidRPr="005374E8">
              <w:rPr>
                <w:b/>
                <w:bCs/>
              </w:rPr>
              <w:t>α</w:t>
            </w:r>
            <w:r w:rsidRPr="005374E8">
              <w:rPr>
                <w:b/>
                <w:bCs/>
              </w:rPr>
              <w:t>χωρίζεται υποχρεωτικά σε αυτή.»</w:t>
            </w:r>
          </w:p>
          <w:p w14:paraId="0BDD6B33" w14:textId="77777777" w:rsidR="00BA0070" w:rsidRDefault="00BA0070" w:rsidP="005374E8">
            <w:pPr>
              <w:jc w:val="both"/>
            </w:pPr>
          </w:p>
        </w:tc>
        <w:tc>
          <w:tcPr>
            <w:tcW w:w="3510" w:type="dxa"/>
          </w:tcPr>
          <w:p w14:paraId="4866374D" w14:textId="77777777" w:rsidR="00BA0070" w:rsidRPr="00DF5531" w:rsidRDefault="00BA0070" w:rsidP="00FC3135">
            <w:pPr>
              <w:jc w:val="center"/>
              <w:rPr>
                <w:b/>
                <w:bCs/>
              </w:rPr>
            </w:pPr>
            <w:r w:rsidRPr="00DF5531">
              <w:rPr>
                <w:b/>
                <w:bCs/>
              </w:rPr>
              <w:lastRenderedPageBreak/>
              <w:t>ΑΜΕΣΟΥ ΣΥΜΒΟΛΑΙΟΓΡΑΦ</w:t>
            </w:r>
            <w:r w:rsidRPr="00DF5531">
              <w:rPr>
                <w:b/>
                <w:bCs/>
              </w:rPr>
              <w:t>Ι</w:t>
            </w:r>
            <w:r w:rsidRPr="00DF5531">
              <w:rPr>
                <w:b/>
                <w:bCs/>
              </w:rPr>
              <w:t>ΚΟΥ ΕΝΔΙΑΦΕΡΟΝΤΟΣ</w:t>
            </w:r>
          </w:p>
          <w:p w14:paraId="14647285" w14:textId="35220DC7" w:rsidR="00BA0070" w:rsidRPr="0081634E" w:rsidRDefault="00BA0070" w:rsidP="008B0CF6">
            <w:pPr>
              <w:jc w:val="center"/>
              <w:rPr>
                <w:b/>
                <w:bCs/>
              </w:rPr>
            </w:pPr>
            <w:r w:rsidRPr="0081634E">
              <w:rPr>
                <w:b/>
                <w:bCs/>
              </w:rPr>
              <w:t>Αρ.</w:t>
            </w:r>
            <w:r w:rsidR="008A17B9">
              <w:rPr>
                <w:b/>
                <w:bCs/>
              </w:rPr>
              <w:t xml:space="preserve"> </w:t>
            </w:r>
            <w:r w:rsidRPr="0081634E">
              <w:rPr>
                <w:b/>
                <w:bCs/>
              </w:rPr>
              <w:t>65</w:t>
            </w:r>
          </w:p>
          <w:p w14:paraId="23B6D086" w14:textId="77777777" w:rsidR="005374E8" w:rsidRDefault="005374E8" w:rsidP="007A2BB1">
            <w:pPr>
              <w:jc w:val="both"/>
            </w:pPr>
          </w:p>
          <w:p w14:paraId="6C8A2138" w14:textId="5F09CC12" w:rsidR="00BA0070" w:rsidRDefault="00BA0070" w:rsidP="008A17B9">
            <w:r>
              <w:t xml:space="preserve">Τροποποίηση του </w:t>
            </w:r>
            <w:proofErr w:type="spellStart"/>
            <w:r>
              <w:t>άρ</w:t>
            </w:r>
            <w:proofErr w:type="spellEnd"/>
            <w:r>
              <w:t>.</w:t>
            </w:r>
            <w:r w:rsidR="008A17B9">
              <w:t xml:space="preserve"> </w:t>
            </w:r>
            <w:r>
              <w:t>12 ν.</w:t>
            </w:r>
            <w:r w:rsidR="008A17B9">
              <w:t xml:space="preserve"> </w:t>
            </w:r>
            <w:r>
              <w:t xml:space="preserve">4122/2013 </w:t>
            </w:r>
            <w:r w:rsidRPr="00FC3135">
              <w:t>Έκδοση Πιστοποιητ</w:t>
            </w:r>
            <w:r w:rsidRPr="00FC3135">
              <w:t>ι</w:t>
            </w:r>
            <w:r w:rsidRPr="00FC3135">
              <w:t>κού Ενεργειακής Απόδοσης (ΠΕΑ)</w:t>
            </w:r>
          </w:p>
          <w:p w14:paraId="0A29576F" w14:textId="4E0CD4F1" w:rsidR="00BA0070" w:rsidRDefault="00BA0070" w:rsidP="008A17B9">
            <w:r>
              <w:t>(βλ. και τροποποίηση της παρ.</w:t>
            </w:r>
            <w:r w:rsidR="008A17B9">
              <w:t xml:space="preserve"> </w:t>
            </w:r>
            <w:r>
              <w:t xml:space="preserve">7 του </w:t>
            </w:r>
            <w:proofErr w:type="spellStart"/>
            <w:r>
              <w:t>άρ</w:t>
            </w:r>
            <w:proofErr w:type="spellEnd"/>
            <w:r>
              <w:t>.</w:t>
            </w:r>
            <w:r w:rsidR="008A17B9">
              <w:t xml:space="preserve"> </w:t>
            </w:r>
            <w:r>
              <w:t>4)</w:t>
            </w:r>
          </w:p>
        </w:tc>
      </w:tr>
      <w:tr w:rsidR="00BA0070" w14:paraId="4982C22A" w14:textId="77777777" w:rsidTr="0031001F">
        <w:trPr>
          <w:trHeight w:val="421"/>
          <w:jc w:val="center"/>
        </w:trPr>
        <w:tc>
          <w:tcPr>
            <w:tcW w:w="2688" w:type="dxa"/>
            <w:vMerge/>
            <w:shd w:val="clear" w:color="auto" w:fill="FFD966" w:themeFill="accent4" w:themeFillTint="99"/>
          </w:tcPr>
          <w:p w14:paraId="39A8A88F" w14:textId="77777777" w:rsidR="00BA0070" w:rsidRDefault="00BA0070" w:rsidP="005C5CDF">
            <w:pPr>
              <w:jc w:val="both"/>
            </w:pPr>
          </w:p>
        </w:tc>
        <w:tc>
          <w:tcPr>
            <w:tcW w:w="14899" w:type="dxa"/>
            <w:gridSpan w:val="3"/>
          </w:tcPr>
          <w:p w14:paraId="6581AACB" w14:textId="77777777" w:rsidR="005374E8" w:rsidRPr="005374E8" w:rsidRDefault="005374E8" w:rsidP="005374E8">
            <w:pPr>
              <w:jc w:val="center"/>
              <w:rPr>
                <w:b/>
                <w:bCs/>
              </w:rPr>
            </w:pPr>
            <w:r w:rsidRPr="005374E8">
              <w:rPr>
                <w:b/>
                <w:bCs/>
              </w:rPr>
              <w:t>Άρθρο 71</w:t>
            </w:r>
          </w:p>
          <w:p w14:paraId="3A8221F6" w14:textId="77777777" w:rsidR="005374E8" w:rsidRPr="005374E8" w:rsidRDefault="005374E8" w:rsidP="005374E8">
            <w:pPr>
              <w:jc w:val="center"/>
              <w:rPr>
                <w:b/>
                <w:bCs/>
              </w:rPr>
            </w:pPr>
            <w:r w:rsidRPr="005374E8">
              <w:rPr>
                <w:b/>
                <w:bCs/>
              </w:rPr>
              <w:t>Μεταβατικές και καταργούμενες διατάξεις</w:t>
            </w:r>
          </w:p>
          <w:p w14:paraId="7D41D928" w14:textId="2C484044" w:rsidR="005374E8" w:rsidRPr="005374E8" w:rsidRDefault="005374E8" w:rsidP="005374E8">
            <w:pPr>
              <w:jc w:val="both"/>
              <w:rPr>
                <w:b/>
                <w:bCs/>
              </w:rPr>
            </w:pPr>
            <w:r w:rsidRPr="005374E8">
              <w:rPr>
                <w:b/>
                <w:bCs/>
              </w:rPr>
              <w:t>1. Οι διατάξεις της παραγράφου 4 του άρθρου 12 του</w:t>
            </w:r>
            <w:r>
              <w:rPr>
                <w:b/>
                <w:bCs/>
              </w:rPr>
              <w:t xml:space="preserve"> </w:t>
            </w:r>
            <w:r w:rsidRPr="005374E8">
              <w:rPr>
                <w:b/>
                <w:bCs/>
              </w:rPr>
              <w:t>ν. 4122/2013 (Α’ 42) ισχύουν από την 1η Ιανουαρίου 2021.</w:t>
            </w:r>
          </w:p>
          <w:p w14:paraId="4FDF21F0" w14:textId="75C0945E" w:rsidR="005374E8" w:rsidRPr="005374E8" w:rsidRDefault="005374E8" w:rsidP="005374E8">
            <w:pPr>
              <w:jc w:val="both"/>
              <w:rPr>
                <w:b/>
                <w:bCs/>
              </w:rPr>
            </w:pPr>
            <w:r w:rsidRPr="005374E8">
              <w:rPr>
                <w:b/>
                <w:bCs/>
              </w:rPr>
              <w:t>2. Οι διατάξεις της παραγράφου 3 του άρθρου 14 και</w:t>
            </w:r>
            <w:r>
              <w:rPr>
                <w:b/>
                <w:bCs/>
              </w:rPr>
              <w:t xml:space="preserve"> </w:t>
            </w:r>
            <w:r w:rsidRPr="005374E8">
              <w:rPr>
                <w:b/>
                <w:bCs/>
              </w:rPr>
              <w:t>της παραγράφου 3 του άρθρου 15 του ν. 4122/2013 ισχύουν από την 1η Ι</w:t>
            </w:r>
            <w:r w:rsidRPr="005374E8">
              <w:rPr>
                <w:b/>
                <w:bCs/>
              </w:rPr>
              <w:t>α</w:t>
            </w:r>
            <w:r w:rsidRPr="005374E8">
              <w:rPr>
                <w:b/>
                <w:bCs/>
              </w:rPr>
              <w:t>νουαρίου 2025.</w:t>
            </w:r>
          </w:p>
          <w:p w14:paraId="449A7B68" w14:textId="77777777" w:rsidR="00BA0070" w:rsidRDefault="005374E8" w:rsidP="005374E8">
            <w:pPr>
              <w:jc w:val="both"/>
              <w:rPr>
                <w:b/>
                <w:bCs/>
              </w:rPr>
            </w:pPr>
            <w:r w:rsidRPr="005374E8">
              <w:rPr>
                <w:b/>
                <w:bCs/>
              </w:rPr>
              <w:t>3. Από την έναρξη ισχύος του παρόντος καταργείται το</w:t>
            </w:r>
            <w:r>
              <w:rPr>
                <w:b/>
                <w:bCs/>
              </w:rPr>
              <w:t xml:space="preserve"> </w:t>
            </w:r>
            <w:r w:rsidRPr="005374E8">
              <w:rPr>
                <w:b/>
                <w:bCs/>
              </w:rPr>
              <w:t>άρθρο 6 του ν. 4342/2015 (Α’ 143), όπως ισχύει.</w:t>
            </w:r>
          </w:p>
          <w:p w14:paraId="51DA9494" w14:textId="757D0C09" w:rsidR="005374E8" w:rsidRDefault="005374E8" w:rsidP="005374E8">
            <w:pPr>
              <w:jc w:val="both"/>
            </w:pPr>
          </w:p>
        </w:tc>
      </w:tr>
      <w:tr w:rsidR="00B07DC2" w14:paraId="15417E62" w14:textId="77777777" w:rsidTr="0031001F">
        <w:trPr>
          <w:trHeight w:val="421"/>
          <w:jc w:val="center"/>
        </w:trPr>
        <w:tc>
          <w:tcPr>
            <w:tcW w:w="2688" w:type="dxa"/>
            <w:shd w:val="clear" w:color="auto" w:fill="9CC2E5" w:themeFill="accent5" w:themeFillTint="99"/>
          </w:tcPr>
          <w:p w14:paraId="46D4BA59" w14:textId="0CEF1DA8" w:rsidR="00B07DC2" w:rsidRPr="008A17B9" w:rsidRDefault="00B07DC2" w:rsidP="008A17B9">
            <w:pPr>
              <w:jc w:val="center"/>
              <w:rPr>
                <w:b/>
                <w:bCs/>
                <w:sz w:val="24"/>
                <w:szCs w:val="24"/>
              </w:rPr>
            </w:pPr>
            <w:r w:rsidRPr="0031001F">
              <w:rPr>
                <w:b/>
                <w:bCs/>
                <w:sz w:val="24"/>
                <w:szCs w:val="24"/>
              </w:rPr>
              <w:t>ΠΑΡΕΜΒΑΣΗ ΣΤΗ Δ</w:t>
            </w:r>
            <w:r w:rsidRPr="0031001F">
              <w:rPr>
                <w:b/>
                <w:bCs/>
                <w:sz w:val="24"/>
                <w:szCs w:val="24"/>
              </w:rPr>
              <w:t>Ι</w:t>
            </w:r>
            <w:r w:rsidRPr="0031001F">
              <w:rPr>
                <w:b/>
                <w:bCs/>
                <w:sz w:val="24"/>
                <w:szCs w:val="24"/>
              </w:rPr>
              <w:t>ΑΔΙΚΑΣΙΑ ΤΑΚΤΟΠΟ</w:t>
            </w:r>
            <w:r w:rsidRPr="0031001F">
              <w:rPr>
                <w:b/>
                <w:bCs/>
                <w:sz w:val="24"/>
                <w:szCs w:val="24"/>
              </w:rPr>
              <w:t>Ι</w:t>
            </w:r>
            <w:r w:rsidRPr="0031001F">
              <w:rPr>
                <w:b/>
                <w:bCs/>
                <w:sz w:val="24"/>
                <w:szCs w:val="24"/>
              </w:rPr>
              <w:t>ΗΣΗΣ</w:t>
            </w:r>
            <w:r w:rsidR="008A17B9">
              <w:rPr>
                <w:b/>
                <w:bCs/>
                <w:sz w:val="24"/>
                <w:szCs w:val="24"/>
              </w:rPr>
              <w:t xml:space="preserve"> </w:t>
            </w:r>
            <w:r w:rsidRPr="0031001F">
              <w:rPr>
                <w:b/>
                <w:bCs/>
                <w:sz w:val="24"/>
                <w:szCs w:val="24"/>
              </w:rPr>
              <w:t>ΑΥΘΑΙΡΕΤΩΝ ΚΑΤΑΣΚΕΥΩΝ ΚΑΙ ΧΡΗΣΕΩΝ ΕΝΤΟΣ Π</w:t>
            </w:r>
            <w:r w:rsidRPr="0031001F">
              <w:rPr>
                <w:b/>
                <w:bCs/>
                <w:sz w:val="24"/>
                <w:szCs w:val="24"/>
              </w:rPr>
              <w:t>Α</w:t>
            </w:r>
            <w:r w:rsidRPr="0031001F">
              <w:rPr>
                <w:b/>
                <w:bCs/>
                <w:sz w:val="24"/>
                <w:szCs w:val="24"/>
              </w:rPr>
              <w:t>ΡΑΔΟΣΙΑΚΩΝ ΟΙΚ</w:t>
            </w:r>
            <w:r w:rsidRPr="0031001F">
              <w:rPr>
                <w:b/>
                <w:bCs/>
                <w:sz w:val="24"/>
                <w:szCs w:val="24"/>
              </w:rPr>
              <w:t>Ι</w:t>
            </w:r>
            <w:r w:rsidRPr="0031001F">
              <w:rPr>
                <w:b/>
                <w:bCs/>
                <w:sz w:val="24"/>
                <w:szCs w:val="24"/>
              </w:rPr>
              <w:t>ΣΜΩΝ (ΑΡ.</w:t>
            </w:r>
            <w:r w:rsidR="008A17B9">
              <w:rPr>
                <w:b/>
                <w:bCs/>
                <w:sz w:val="24"/>
                <w:szCs w:val="24"/>
              </w:rPr>
              <w:t xml:space="preserve"> </w:t>
            </w:r>
            <w:r w:rsidRPr="0031001F">
              <w:rPr>
                <w:b/>
                <w:bCs/>
                <w:sz w:val="24"/>
                <w:szCs w:val="24"/>
              </w:rPr>
              <w:t>116 Ν.</w:t>
            </w:r>
            <w:r w:rsidR="008A17B9">
              <w:rPr>
                <w:b/>
                <w:bCs/>
                <w:sz w:val="24"/>
                <w:szCs w:val="24"/>
              </w:rPr>
              <w:t xml:space="preserve"> </w:t>
            </w:r>
            <w:r w:rsidRPr="0031001F">
              <w:rPr>
                <w:b/>
                <w:bCs/>
                <w:sz w:val="24"/>
                <w:szCs w:val="24"/>
              </w:rPr>
              <w:t>4495/2017) ΚΑΙ ΣΕ ΔΙΑΤΗΡΗΤΕΑ ΚΤΙΡΙΑ (ΑΡ.</w:t>
            </w:r>
            <w:r w:rsidR="008A17B9">
              <w:rPr>
                <w:b/>
                <w:bCs/>
                <w:sz w:val="24"/>
                <w:szCs w:val="24"/>
              </w:rPr>
              <w:t xml:space="preserve"> </w:t>
            </w:r>
            <w:r w:rsidRPr="0031001F">
              <w:rPr>
                <w:b/>
                <w:bCs/>
                <w:sz w:val="24"/>
                <w:szCs w:val="24"/>
              </w:rPr>
              <w:t>117 Ν.</w:t>
            </w:r>
            <w:r w:rsidR="008A17B9">
              <w:rPr>
                <w:b/>
                <w:bCs/>
                <w:sz w:val="24"/>
                <w:szCs w:val="24"/>
              </w:rPr>
              <w:t xml:space="preserve"> </w:t>
            </w:r>
            <w:r w:rsidRPr="0031001F">
              <w:rPr>
                <w:b/>
                <w:bCs/>
                <w:sz w:val="24"/>
                <w:szCs w:val="24"/>
              </w:rPr>
              <w:t>4495/2017)</w:t>
            </w:r>
          </w:p>
        </w:tc>
        <w:tc>
          <w:tcPr>
            <w:tcW w:w="11389" w:type="dxa"/>
            <w:gridSpan w:val="2"/>
          </w:tcPr>
          <w:p w14:paraId="60B01A29" w14:textId="77777777" w:rsidR="00B07DC2" w:rsidRDefault="005374E8" w:rsidP="005374E8">
            <w:pPr>
              <w:jc w:val="both"/>
            </w:pPr>
            <w:r w:rsidRPr="005374E8">
              <w:rPr>
                <w:b/>
                <w:bCs/>
              </w:rPr>
              <w:t>12.</w:t>
            </w:r>
            <w:r>
              <w:t xml:space="preserve"> Μέχρι την συγκρότηση των ΠΕ.Σ.Α. του άρθρου 12, των Επιτροπών Εξέτασης Προσφυγών Α</w:t>
            </w:r>
            <w:r>
              <w:t>υ</w:t>
            </w:r>
            <w:r>
              <w:t>θαιρέτων του άρθρου 17, των Περιφερειακών Επιτροπών Προσβασιμότητας του άρθρου 18, των ΠΕ.ΣΥ.ΠΟ.Θ.Α. του άρθρου 22 και των Επιτροπών των παραγράφων 3 και 9 του άρθρου 116 και της παραγράφου 10 του άρθρου 117 του ν. 4495/2017 (Α’ 167), με απόφαση του Υπουργού Περιβά</w:t>
            </w:r>
            <w:r>
              <w:t>λ</w:t>
            </w:r>
            <w:r>
              <w:t>λοντος και Ενέργειας, δύναται να καθορίζονται τα όργανα που ασκούν μεταβατικά τις αρμοδιότ</w:t>
            </w:r>
            <w:r>
              <w:t>η</w:t>
            </w:r>
            <w:r>
              <w:t>τες αυτών.</w:t>
            </w:r>
          </w:p>
          <w:p w14:paraId="1747E1D1" w14:textId="77777777" w:rsidR="005374E8" w:rsidRDefault="005374E8" w:rsidP="005374E8">
            <w:pPr>
              <w:jc w:val="both"/>
            </w:pPr>
          </w:p>
          <w:p w14:paraId="69FDD414" w14:textId="3BAEBE35" w:rsidR="005374E8" w:rsidRDefault="005374E8" w:rsidP="005374E8">
            <w:pPr>
              <w:jc w:val="both"/>
            </w:pPr>
          </w:p>
        </w:tc>
        <w:tc>
          <w:tcPr>
            <w:tcW w:w="3510" w:type="dxa"/>
          </w:tcPr>
          <w:p w14:paraId="49BDE4BF" w14:textId="77777777" w:rsidR="0031001F" w:rsidRPr="00DF5531" w:rsidRDefault="0031001F" w:rsidP="0031001F">
            <w:pPr>
              <w:jc w:val="center"/>
              <w:rPr>
                <w:b/>
                <w:bCs/>
              </w:rPr>
            </w:pPr>
            <w:r w:rsidRPr="00DF5531">
              <w:rPr>
                <w:b/>
                <w:bCs/>
              </w:rPr>
              <w:t>ΑΜΕΣΟΥ ΣΥΜΒΟΛΑΙΟΓΡΑΦ</w:t>
            </w:r>
            <w:r w:rsidRPr="00DF5531">
              <w:rPr>
                <w:b/>
                <w:bCs/>
              </w:rPr>
              <w:t>Ι</w:t>
            </w:r>
            <w:r w:rsidRPr="00DF5531">
              <w:rPr>
                <w:b/>
                <w:bCs/>
              </w:rPr>
              <w:t>ΚΟΥ ΕΝΔΙΑΦΕΡΟΝΤΟΣ</w:t>
            </w:r>
          </w:p>
          <w:p w14:paraId="6918BA53" w14:textId="77777777" w:rsidR="005374E8" w:rsidRDefault="005374E8" w:rsidP="007A2BB1">
            <w:pPr>
              <w:jc w:val="both"/>
              <w:rPr>
                <w:b/>
                <w:bCs/>
              </w:rPr>
            </w:pPr>
          </w:p>
          <w:p w14:paraId="14FD594B" w14:textId="04C85A33" w:rsidR="00B07DC2" w:rsidRPr="005374E8" w:rsidRDefault="00B07DC2" w:rsidP="008B0CF6">
            <w:pPr>
              <w:jc w:val="center"/>
              <w:rPr>
                <w:b/>
                <w:bCs/>
              </w:rPr>
            </w:pPr>
            <w:r w:rsidRPr="005374E8">
              <w:rPr>
                <w:b/>
                <w:bCs/>
              </w:rPr>
              <w:t>Αρ.</w:t>
            </w:r>
            <w:r w:rsidR="008A17B9">
              <w:rPr>
                <w:b/>
                <w:bCs/>
              </w:rPr>
              <w:t xml:space="preserve"> </w:t>
            </w:r>
            <w:r w:rsidRPr="005374E8">
              <w:rPr>
                <w:b/>
                <w:bCs/>
              </w:rPr>
              <w:t>99 παρ.</w:t>
            </w:r>
            <w:r w:rsidR="008B0CF6">
              <w:rPr>
                <w:b/>
                <w:bCs/>
              </w:rPr>
              <w:t xml:space="preserve"> </w:t>
            </w:r>
            <w:r w:rsidR="005374E8" w:rsidRPr="005374E8">
              <w:rPr>
                <w:b/>
                <w:bCs/>
              </w:rPr>
              <w:t>12</w:t>
            </w:r>
          </w:p>
          <w:p w14:paraId="565746EB" w14:textId="77777777" w:rsidR="0031001F" w:rsidRDefault="0031001F" w:rsidP="007A2BB1">
            <w:pPr>
              <w:jc w:val="both"/>
            </w:pPr>
          </w:p>
          <w:p w14:paraId="6D4899CF" w14:textId="3E98BE46" w:rsidR="005374E8" w:rsidRDefault="0031001F" w:rsidP="008A17B9">
            <w:r>
              <w:t xml:space="preserve">Δίδεται, </w:t>
            </w:r>
            <w:r w:rsidR="00B07DC2">
              <w:t>προσωρινά</w:t>
            </w:r>
            <w:r>
              <w:t>,</w:t>
            </w:r>
            <w:r w:rsidR="00B07DC2">
              <w:t xml:space="preserve"> </w:t>
            </w:r>
            <w:r>
              <w:t>διέξοδος σ</w:t>
            </w:r>
            <w:r w:rsidR="00B07DC2">
              <w:t>το πρόβλημα που είχε δημ</w:t>
            </w:r>
            <w:r w:rsidR="00B07DC2">
              <w:t>ι</w:t>
            </w:r>
            <w:r w:rsidR="00B07DC2">
              <w:t>ουργηθεί στις τακτοποιήσεις αυθαίρετων κατασκευών και χρήσεων εντός παραδοσιακών οικισμών (αρ.</w:t>
            </w:r>
            <w:r w:rsidR="008A17B9">
              <w:t xml:space="preserve"> </w:t>
            </w:r>
            <w:r w:rsidR="00B07DC2">
              <w:t>116 Ν.</w:t>
            </w:r>
            <w:r w:rsidR="008B0CF6">
              <w:t xml:space="preserve"> </w:t>
            </w:r>
            <w:r w:rsidR="00B07DC2">
              <w:t>4495/2017) και σε διατηρητέα κτίρια (αρ.</w:t>
            </w:r>
            <w:r w:rsidR="008A17B9">
              <w:t xml:space="preserve"> </w:t>
            </w:r>
            <w:r w:rsidR="00B07DC2">
              <w:t>117 Ν.</w:t>
            </w:r>
            <w:r w:rsidR="008A17B9">
              <w:t xml:space="preserve"> </w:t>
            </w:r>
            <w:r w:rsidR="00B07DC2">
              <w:t>4495/2017)</w:t>
            </w:r>
          </w:p>
        </w:tc>
      </w:tr>
    </w:tbl>
    <w:p w14:paraId="0C9A2389" w14:textId="77777777" w:rsidR="005C5CDF" w:rsidRPr="005C5CDF" w:rsidRDefault="005C5CDF" w:rsidP="008A17B9"/>
    <w:sectPr w:rsidR="005C5CDF" w:rsidRPr="005C5CDF" w:rsidSect="00155F8C">
      <w:pgSz w:w="16838" w:h="11906" w:orient="landscape" w:code="9"/>
      <w:pgMar w:top="1797" w:right="851"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0566E"/>
    <w:multiLevelType w:val="hybridMultilevel"/>
    <w:tmpl w:val="0D024BDC"/>
    <w:lvl w:ilvl="0" w:tplc="4B686326">
      <w:start w:val="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autoHyphenation/>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DF"/>
    <w:rsid w:val="00155F8C"/>
    <w:rsid w:val="00163B9F"/>
    <w:rsid w:val="002D44F6"/>
    <w:rsid w:val="002F224F"/>
    <w:rsid w:val="0031001F"/>
    <w:rsid w:val="0043513C"/>
    <w:rsid w:val="00457FE7"/>
    <w:rsid w:val="00460ADE"/>
    <w:rsid w:val="004E63DC"/>
    <w:rsid w:val="005374E8"/>
    <w:rsid w:val="005C5CDF"/>
    <w:rsid w:val="006B1288"/>
    <w:rsid w:val="00766519"/>
    <w:rsid w:val="007A2BB1"/>
    <w:rsid w:val="007F6A36"/>
    <w:rsid w:val="0081634E"/>
    <w:rsid w:val="008A17B9"/>
    <w:rsid w:val="008B0CF6"/>
    <w:rsid w:val="008D7EBA"/>
    <w:rsid w:val="008F4014"/>
    <w:rsid w:val="00976937"/>
    <w:rsid w:val="009810A8"/>
    <w:rsid w:val="00996306"/>
    <w:rsid w:val="00A870AA"/>
    <w:rsid w:val="00AE77A2"/>
    <w:rsid w:val="00B07DC2"/>
    <w:rsid w:val="00B839F9"/>
    <w:rsid w:val="00B903CB"/>
    <w:rsid w:val="00BA0070"/>
    <w:rsid w:val="00BE73E5"/>
    <w:rsid w:val="00C010B9"/>
    <w:rsid w:val="00CF097B"/>
    <w:rsid w:val="00DA7C55"/>
    <w:rsid w:val="00DF5531"/>
    <w:rsid w:val="00E0125D"/>
    <w:rsid w:val="00E93211"/>
    <w:rsid w:val="00EF5B89"/>
    <w:rsid w:val="00F269ED"/>
    <w:rsid w:val="00F31053"/>
    <w:rsid w:val="00F324E8"/>
    <w:rsid w:val="00F54047"/>
    <w:rsid w:val="00FC31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CDF"/>
    <w:pPr>
      <w:widowControl w:val="0"/>
      <w:autoSpaceDE w:val="0"/>
      <w:autoSpaceDN w:val="0"/>
      <w:spacing w:after="0" w:line="240" w:lineRule="auto"/>
    </w:pPr>
    <w:rPr>
      <w:rFonts w:ascii="Calibri" w:eastAsia="Calibri" w:hAnsi="Calibri" w:cs="Calibri"/>
      <w:lang w:eastAsia="el-GR" w:bidi="el-GR"/>
    </w:rPr>
  </w:style>
  <w:style w:type="paragraph" w:styleId="1">
    <w:name w:val="heading 1"/>
    <w:basedOn w:val="a"/>
    <w:link w:val="1Char"/>
    <w:uiPriority w:val="9"/>
    <w:qFormat/>
    <w:rsid w:val="005C5CDF"/>
    <w:pPr>
      <w:ind w:left="1196" w:right="1653"/>
      <w:jc w:val="center"/>
      <w:outlineLvl w:val="0"/>
    </w:pPr>
    <w:rPr>
      <w:b/>
      <w:bCs/>
    </w:rPr>
  </w:style>
  <w:style w:type="paragraph" w:styleId="3">
    <w:name w:val="heading 3"/>
    <w:basedOn w:val="a"/>
    <w:next w:val="a"/>
    <w:link w:val="3Char"/>
    <w:uiPriority w:val="9"/>
    <w:unhideWhenUsed/>
    <w:qFormat/>
    <w:rsid w:val="002F224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C5CDF"/>
    <w:rPr>
      <w:rFonts w:ascii="Calibri" w:eastAsia="Calibri" w:hAnsi="Calibri" w:cs="Calibri"/>
      <w:b/>
      <w:bCs/>
      <w:lang w:eastAsia="el-GR" w:bidi="el-GR"/>
    </w:rPr>
  </w:style>
  <w:style w:type="paragraph" w:styleId="a3">
    <w:name w:val="Body Text"/>
    <w:basedOn w:val="a"/>
    <w:link w:val="Char"/>
    <w:uiPriority w:val="1"/>
    <w:qFormat/>
    <w:rsid w:val="005C5CDF"/>
    <w:pPr>
      <w:ind w:left="1200"/>
      <w:jc w:val="both"/>
    </w:pPr>
  </w:style>
  <w:style w:type="character" w:customStyle="1" w:styleId="Char">
    <w:name w:val="Σώμα κειμένου Char"/>
    <w:basedOn w:val="a0"/>
    <w:link w:val="a3"/>
    <w:uiPriority w:val="1"/>
    <w:rsid w:val="005C5CDF"/>
    <w:rPr>
      <w:rFonts w:ascii="Calibri" w:eastAsia="Calibri" w:hAnsi="Calibri" w:cs="Calibri"/>
      <w:lang w:eastAsia="el-GR" w:bidi="el-GR"/>
    </w:rPr>
  </w:style>
  <w:style w:type="table" w:styleId="a4">
    <w:name w:val="Table Grid"/>
    <w:basedOn w:val="a1"/>
    <w:uiPriority w:val="39"/>
    <w:rsid w:val="005C5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uiPriority w:val="9"/>
    <w:rsid w:val="002F224F"/>
    <w:rPr>
      <w:rFonts w:asciiTheme="majorHAnsi" w:eastAsiaTheme="majorEastAsia" w:hAnsiTheme="majorHAnsi" w:cstheme="majorBidi"/>
      <w:color w:val="1F3763" w:themeColor="accent1" w:themeShade="7F"/>
      <w:sz w:val="24"/>
      <w:szCs w:val="24"/>
      <w:lang w:eastAsia="el-GR" w:bidi="el-GR"/>
    </w:rPr>
  </w:style>
  <w:style w:type="paragraph" w:styleId="a5">
    <w:name w:val="List Paragraph"/>
    <w:basedOn w:val="a"/>
    <w:uiPriority w:val="34"/>
    <w:qFormat/>
    <w:rsid w:val="00163B9F"/>
    <w:pPr>
      <w:ind w:left="720"/>
      <w:contextualSpacing/>
    </w:pPr>
  </w:style>
  <w:style w:type="paragraph" w:styleId="a6">
    <w:name w:val="Balloon Text"/>
    <w:basedOn w:val="a"/>
    <w:link w:val="Char0"/>
    <w:uiPriority w:val="99"/>
    <w:semiHidden/>
    <w:unhideWhenUsed/>
    <w:rsid w:val="008A17B9"/>
    <w:rPr>
      <w:rFonts w:ascii="Tahoma" w:hAnsi="Tahoma" w:cs="Tahoma"/>
      <w:sz w:val="16"/>
      <w:szCs w:val="16"/>
    </w:rPr>
  </w:style>
  <w:style w:type="character" w:customStyle="1" w:styleId="Char0">
    <w:name w:val="Κείμενο πλαισίου Char"/>
    <w:basedOn w:val="a0"/>
    <w:link w:val="a6"/>
    <w:uiPriority w:val="99"/>
    <w:semiHidden/>
    <w:rsid w:val="008A17B9"/>
    <w:rPr>
      <w:rFonts w:ascii="Tahoma" w:eastAsia="Calibri" w:hAnsi="Tahoma" w:cs="Tahoma"/>
      <w:sz w:val="16"/>
      <w:szCs w:val="16"/>
      <w:lang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CDF"/>
    <w:pPr>
      <w:widowControl w:val="0"/>
      <w:autoSpaceDE w:val="0"/>
      <w:autoSpaceDN w:val="0"/>
      <w:spacing w:after="0" w:line="240" w:lineRule="auto"/>
    </w:pPr>
    <w:rPr>
      <w:rFonts w:ascii="Calibri" w:eastAsia="Calibri" w:hAnsi="Calibri" w:cs="Calibri"/>
      <w:lang w:eastAsia="el-GR" w:bidi="el-GR"/>
    </w:rPr>
  </w:style>
  <w:style w:type="paragraph" w:styleId="1">
    <w:name w:val="heading 1"/>
    <w:basedOn w:val="a"/>
    <w:link w:val="1Char"/>
    <w:uiPriority w:val="9"/>
    <w:qFormat/>
    <w:rsid w:val="005C5CDF"/>
    <w:pPr>
      <w:ind w:left="1196" w:right="1653"/>
      <w:jc w:val="center"/>
      <w:outlineLvl w:val="0"/>
    </w:pPr>
    <w:rPr>
      <w:b/>
      <w:bCs/>
    </w:rPr>
  </w:style>
  <w:style w:type="paragraph" w:styleId="3">
    <w:name w:val="heading 3"/>
    <w:basedOn w:val="a"/>
    <w:next w:val="a"/>
    <w:link w:val="3Char"/>
    <w:uiPriority w:val="9"/>
    <w:unhideWhenUsed/>
    <w:qFormat/>
    <w:rsid w:val="002F224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C5CDF"/>
    <w:rPr>
      <w:rFonts w:ascii="Calibri" w:eastAsia="Calibri" w:hAnsi="Calibri" w:cs="Calibri"/>
      <w:b/>
      <w:bCs/>
      <w:lang w:eastAsia="el-GR" w:bidi="el-GR"/>
    </w:rPr>
  </w:style>
  <w:style w:type="paragraph" w:styleId="a3">
    <w:name w:val="Body Text"/>
    <w:basedOn w:val="a"/>
    <w:link w:val="Char"/>
    <w:uiPriority w:val="1"/>
    <w:qFormat/>
    <w:rsid w:val="005C5CDF"/>
    <w:pPr>
      <w:ind w:left="1200"/>
      <w:jc w:val="both"/>
    </w:pPr>
  </w:style>
  <w:style w:type="character" w:customStyle="1" w:styleId="Char">
    <w:name w:val="Σώμα κειμένου Char"/>
    <w:basedOn w:val="a0"/>
    <w:link w:val="a3"/>
    <w:uiPriority w:val="1"/>
    <w:rsid w:val="005C5CDF"/>
    <w:rPr>
      <w:rFonts w:ascii="Calibri" w:eastAsia="Calibri" w:hAnsi="Calibri" w:cs="Calibri"/>
      <w:lang w:eastAsia="el-GR" w:bidi="el-GR"/>
    </w:rPr>
  </w:style>
  <w:style w:type="table" w:styleId="a4">
    <w:name w:val="Table Grid"/>
    <w:basedOn w:val="a1"/>
    <w:uiPriority w:val="39"/>
    <w:rsid w:val="005C5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uiPriority w:val="9"/>
    <w:rsid w:val="002F224F"/>
    <w:rPr>
      <w:rFonts w:asciiTheme="majorHAnsi" w:eastAsiaTheme="majorEastAsia" w:hAnsiTheme="majorHAnsi" w:cstheme="majorBidi"/>
      <w:color w:val="1F3763" w:themeColor="accent1" w:themeShade="7F"/>
      <w:sz w:val="24"/>
      <w:szCs w:val="24"/>
      <w:lang w:eastAsia="el-GR" w:bidi="el-GR"/>
    </w:rPr>
  </w:style>
  <w:style w:type="paragraph" w:styleId="a5">
    <w:name w:val="List Paragraph"/>
    <w:basedOn w:val="a"/>
    <w:uiPriority w:val="34"/>
    <w:qFormat/>
    <w:rsid w:val="00163B9F"/>
    <w:pPr>
      <w:ind w:left="720"/>
      <w:contextualSpacing/>
    </w:pPr>
  </w:style>
  <w:style w:type="paragraph" w:styleId="a6">
    <w:name w:val="Balloon Text"/>
    <w:basedOn w:val="a"/>
    <w:link w:val="Char0"/>
    <w:uiPriority w:val="99"/>
    <w:semiHidden/>
    <w:unhideWhenUsed/>
    <w:rsid w:val="008A17B9"/>
    <w:rPr>
      <w:rFonts w:ascii="Tahoma" w:hAnsi="Tahoma" w:cs="Tahoma"/>
      <w:sz w:val="16"/>
      <w:szCs w:val="16"/>
    </w:rPr>
  </w:style>
  <w:style w:type="character" w:customStyle="1" w:styleId="Char0">
    <w:name w:val="Κείμενο πλαισίου Char"/>
    <w:basedOn w:val="a0"/>
    <w:link w:val="a6"/>
    <w:uiPriority w:val="99"/>
    <w:semiHidden/>
    <w:rsid w:val="008A17B9"/>
    <w:rPr>
      <w:rFonts w:ascii="Tahoma" w:eastAsia="Calibri" w:hAnsi="Tahoma" w:cs="Tahoma"/>
      <w:sz w:val="16"/>
      <w:szCs w:val="16"/>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3677</Words>
  <Characters>19857</Characters>
  <Application>Microsoft Office Word</Application>
  <DocSecurity>0</DocSecurity>
  <Lines>165</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Georgios Poulios</dc:creator>
  <cp:lastModifiedBy>tritoselsa</cp:lastModifiedBy>
  <cp:revision>2</cp:revision>
  <dcterms:created xsi:type="dcterms:W3CDTF">2020-05-11T13:29:00Z</dcterms:created>
  <dcterms:modified xsi:type="dcterms:W3CDTF">2020-05-11T13:29:00Z</dcterms:modified>
</cp:coreProperties>
</file>